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4C9" w:rsidRDefault="00105F38">
      <w:pPr>
        <w:pStyle w:val="CRCoverPage"/>
        <w:tabs>
          <w:tab w:val="right" w:pos="9639"/>
        </w:tabs>
        <w:snapToGrid w:val="0"/>
        <w:spacing w:after="0"/>
        <w:rPr>
          <w:b/>
          <w:sz w:val="24"/>
          <w:szCs w:val="24"/>
          <w:lang w:val="en-US"/>
        </w:rPr>
      </w:pPr>
      <w:bookmarkStart w:id="0" w:name="_Ref494746248"/>
      <w:r>
        <w:rPr>
          <w:rFonts w:hint="eastAsia"/>
          <w:b/>
          <w:sz w:val="24"/>
          <w:szCs w:val="24"/>
        </w:rPr>
        <w:t>3GPP TSG RAN WG1 #10</w:t>
      </w:r>
      <w:r w:rsidR="00242B92">
        <w:rPr>
          <w:b/>
          <w:sz w:val="24"/>
          <w:szCs w:val="24"/>
        </w:rPr>
        <w:t>4</w:t>
      </w:r>
      <w:r>
        <w:rPr>
          <w:rFonts w:hint="eastAsia"/>
          <w:b/>
          <w:sz w:val="24"/>
          <w:szCs w:val="24"/>
        </w:rPr>
        <w:t>-e</w:t>
      </w:r>
      <w:r>
        <w:rPr>
          <w:b/>
          <w:sz w:val="24"/>
          <w:szCs w:val="24"/>
        </w:rPr>
        <w:tab/>
        <w:t xml:space="preserve"> </w:t>
      </w:r>
      <w:r w:rsidR="00242B92" w:rsidRPr="00242B92">
        <w:rPr>
          <w:b/>
          <w:sz w:val="24"/>
          <w:szCs w:val="24"/>
        </w:rPr>
        <w:t>R1-2100084</w:t>
      </w:r>
    </w:p>
    <w:p w:rsidR="007C44C9" w:rsidRPr="00242B92" w:rsidRDefault="00242B92" w:rsidP="00242B92">
      <w:pPr>
        <w:tabs>
          <w:tab w:val="center" w:pos="4536"/>
          <w:tab w:val="right" w:pos="9072"/>
        </w:tabs>
        <w:rPr>
          <w:rFonts w:ascii="Arial" w:eastAsia="MS Mincho" w:hAnsi="Arial" w:cs="Arial"/>
          <w:b/>
          <w:bCs/>
          <w:sz w:val="24"/>
          <w:lang w:eastAsia="ja-JP"/>
        </w:rPr>
      </w:pPr>
      <w:proofErr w:type="gramStart"/>
      <w:r w:rsidRPr="00E87EBD">
        <w:rPr>
          <w:rFonts w:ascii="Arial" w:eastAsia="MS Mincho" w:hAnsi="Arial" w:cs="Arial"/>
          <w:b/>
          <w:bCs/>
          <w:sz w:val="24"/>
          <w:lang w:eastAsia="ja-JP"/>
        </w:rPr>
        <w:t>e-Meeting</w:t>
      </w:r>
      <w:proofErr w:type="gramEnd"/>
      <w:r w:rsidRPr="00E87EBD">
        <w:rPr>
          <w:rFonts w:ascii="Arial" w:eastAsia="MS Mincho" w:hAnsi="Arial" w:cs="Arial"/>
          <w:b/>
          <w:bCs/>
          <w:sz w:val="24"/>
          <w:lang w:eastAsia="ja-JP"/>
        </w:rPr>
        <w:t>, January 25</w:t>
      </w:r>
      <w:r w:rsidRPr="00E87EBD">
        <w:rPr>
          <w:rFonts w:ascii="Arial" w:eastAsia="MS Mincho" w:hAnsi="Arial" w:cs="Arial"/>
          <w:b/>
          <w:bCs/>
          <w:sz w:val="24"/>
          <w:vertAlign w:val="superscript"/>
          <w:lang w:eastAsia="ja-JP"/>
        </w:rPr>
        <w:t>th</w:t>
      </w:r>
      <w:r w:rsidRPr="00E87EBD">
        <w:rPr>
          <w:rFonts w:ascii="Arial" w:eastAsia="MS Mincho" w:hAnsi="Arial" w:cs="Arial"/>
          <w:b/>
          <w:bCs/>
          <w:sz w:val="24"/>
          <w:lang w:eastAsia="ja-JP"/>
        </w:rPr>
        <w:t xml:space="preserve"> – February 5</w:t>
      </w:r>
      <w:r w:rsidRPr="00E87EBD">
        <w:rPr>
          <w:rFonts w:ascii="Arial" w:eastAsia="MS Mincho" w:hAnsi="Arial" w:cs="Arial"/>
          <w:b/>
          <w:bCs/>
          <w:sz w:val="24"/>
          <w:vertAlign w:val="superscript"/>
          <w:lang w:eastAsia="ja-JP"/>
        </w:rPr>
        <w:t>th</w:t>
      </w:r>
      <w:r w:rsidRPr="00E87EBD">
        <w:rPr>
          <w:rFonts w:ascii="Arial" w:eastAsia="MS Mincho" w:hAnsi="Arial" w:cs="Arial"/>
          <w:b/>
          <w:bCs/>
          <w:sz w:val="24"/>
          <w:lang w:eastAsia="ja-JP"/>
        </w:rPr>
        <w:t>, 2021</w:t>
      </w:r>
    </w:p>
    <w:p w:rsidR="007C44C9" w:rsidRDefault="00105F38">
      <w:pPr>
        <w:tabs>
          <w:tab w:val="left" w:pos="1985"/>
        </w:tabs>
        <w:spacing w:after="0"/>
        <w:rPr>
          <w:rFonts w:ascii="Arial" w:hAnsi="Arial"/>
          <w:b/>
          <w:sz w:val="22"/>
          <w:szCs w:val="22"/>
        </w:rPr>
      </w:pPr>
      <w:r>
        <w:rPr>
          <w:rFonts w:ascii="Arial" w:hAnsi="Arial"/>
          <w:b/>
          <w:sz w:val="22"/>
          <w:szCs w:val="22"/>
        </w:rPr>
        <w:t xml:space="preserve">Source: </w:t>
      </w:r>
      <w:r>
        <w:rPr>
          <w:rFonts w:ascii="Arial" w:hAnsi="Arial"/>
          <w:b/>
          <w:sz w:val="22"/>
          <w:szCs w:val="22"/>
        </w:rPr>
        <w:tab/>
        <w:t>ZTE</w:t>
      </w:r>
    </w:p>
    <w:p w:rsidR="007C44C9" w:rsidRDefault="00105F38">
      <w:pPr>
        <w:spacing w:after="0"/>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Ambiguity Issues for UE Features with Cross-Carrier Operation</w:t>
      </w:r>
    </w:p>
    <w:p w:rsidR="007C44C9" w:rsidRDefault="00105F38">
      <w:pPr>
        <w:tabs>
          <w:tab w:val="left" w:pos="1985"/>
        </w:tabs>
        <w:spacing w:after="0"/>
        <w:rPr>
          <w:rFonts w:ascii="Arial" w:hAnsi="Arial"/>
          <w:b/>
          <w:sz w:val="22"/>
          <w:szCs w:val="22"/>
          <w:lang w:eastAsia="zh-CN"/>
        </w:rPr>
      </w:pPr>
      <w:r>
        <w:rPr>
          <w:rFonts w:ascii="Arial" w:hAnsi="Arial"/>
          <w:b/>
          <w:sz w:val="22"/>
          <w:szCs w:val="22"/>
        </w:rPr>
        <w:t>Agenda item:</w:t>
      </w:r>
      <w:r>
        <w:rPr>
          <w:rFonts w:ascii="Arial" w:hAnsi="Arial"/>
          <w:b/>
          <w:sz w:val="22"/>
          <w:szCs w:val="22"/>
        </w:rPr>
        <w:tab/>
      </w:r>
      <w:r>
        <w:rPr>
          <w:rFonts w:ascii="Arial" w:hAnsi="Arial" w:hint="eastAsia"/>
          <w:b/>
          <w:sz w:val="22"/>
          <w:szCs w:val="22"/>
          <w:lang w:eastAsia="zh-CN"/>
        </w:rPr>
        <w:t>7.1</w:t>
      </w:r>
    </w:p>
    <w:p w:rsidR="007C44C9" w:rsidRDefault="00105F38">
      <w:pPr>
        <w:spacing w:after="240"/>
        <w:ind w:left="1990" w:hanging="1990"/>
        <w:rPr>
          <w:rFonts w:ascii="Arial" w:hAnsi="Arial"/>
          <w:b/>
          <w:sz w:val="22"/>
          <w:szCs w:val="22"/>
        </w:rPr>
      </w:pPr>
      <w:r>
        <w:rPr>
          <w:rFonts w:ascii="Arial" w:hAnsi="Arial"/>
          <w:b/>
          <w:sz w:val="22"/>
          <w:szCs w:val="22"/>
        </w:rPr>
        <w:t>Document for:</w:t>
      </w:r>
      <w:r>
        <w:rPr>
          <w:rFonts w:ascii="Arial" w:hAnsi="Arial"/>
          <w:b/>
          <w:sz w:val="22"/>
          <w:szCs w:val="22"/>
        </w:rPr>
        <w:tab/>
      </w:r>
      <w:bookmarkStart w:id="1" w:name="DocumentFor"/>
      <w:bookmarkEnd w:id="1"/>
      <w:r>
        <w:rPr>
          <w:rFonts w:ascii="Arial" w:hAnsi="Arial"/>
          <w:b/>
          <w:sz w:val="22"/>
          <w:szCs w:val="22"/>
        </w:rPr>
        <w:t>Discussion/Decision</w:t>
      </w:r>
    </w:p>
    <w:p w:rsidR="007C44C9" w:rsidRDefault="00105F38">
      <w:pPr>
        <w:pStyle w:val="Heading1"/>
        <w:textAlignment w:val="auto"/>
      </w:pPr>
      <w:bookmarkStart w:id="2" w:name="_Ref4817"/>
      <w:r>
        <w:t>Introduction</w:t>
      </w:r>
      <w:bookmarkEnd w:id="0"/>
      <w:bookmarkEnd w:id="2"/>
    </w:p>
    <w:p w:rsidR="009D5295" w:rsidRDefault="00242B92">
      <w:pPr>
        <w:rPr>
          <w:lang w:val="en-GB" w:eastAsia="zh-CN"/>
        </w:rPr>
      </w:pPr>
      <w:r>
        <w:rPr>
          <w:lang w:val="en-GB" w:eastAsia="zh-CN"/>
        </w:rPr>
        <w:t>After extensive discussion in RAN1#102</w:t>
      </w:r>
      <w:r w:rsidR="00837B08">
        <w:rPr>
          <w:rFonts w:hint="eastAsia"/>
          <w:lang w:val="en-GB" w:eastAsia="zh-CN"/>
        </w:rPr>
        <w:t>-</w:t>
      </w:r>
      <w:r>
        <w:rPr>
          <w:lang w:val="en-GB" w:eastAsia="zh-CN"/>
        </w:rPr>
        <w:t>e and RAN1#103</w:t>
      </w:r>
      <w:r w:rsidR="00837B08">
        <w:rPr>
          <w:rFonts w:hint="eastAsia"/>
          <w:lang w:val="en-GB" w:eastAsia="zh-CN"/>
        </w:rPr>
        <w:t>-</w:t>
      </w:r>
      <w:r>
        <w:rPr>
          <w:lang w:val="en-GB" w:eastAsia="zh-CN"/>
        </w:rPr>
        <w:t>e</w:t>
      </w:r>
      <w:r w:rsidR="00837B08">
        <w:rPr>
          <w:lang w:val="en-GB" w:eastAsia="zh-CN"/>
        </w:rPr>
        <w:t xml:space="preserve"> meeting</w:t>
      </w:r>
      <w:r>
        <w:rPr>
          <w:lang w:val="en-GB" w:eastAsia="zh-CN"/>
        </w:rPr>
        <w:t>, most of Rel-15 UE features with potential ambiguity issue in case of cross-carrier operation have been clarified</w:t>
      </w:r>
      <w:r w:rsidR="009D5295">
        <w:rPr>
          <w:lang w:val="en-GB" w:eastAsia="zh-CN"/>
        </w:rPr>
        <w:t xml:space="preserve"> [1] [2]</w:t>
      </w:r>
      <w:r>
        <w:rPr>
          <w:lang w:val="en-GB" w:eastAsia="zh-CN"/>
        </w:rPr>
        <w:t>.</w:t>
      </w:r>
      <w:r w:rsidR="009D5295">
        <w:rPr>
          <w:lang w:val="en-GB" w:eastAsia="zh-CN"/>
        </w:rPr>
        <w:t xml:space="preserve"> The corresponding conclusion/agreements reached during these two meetings are as following.</w:t>
      </w:r>
    </w:p>
    <w:tbl>
      <w:tblPr>
        <w:tblStyle w:val="TableGrid"/>
        <w:tblW w:w="0" w:type="auto"/>
        <w:tblLook w:val="04A0" w:firstRow="1" w:lastRow="0" w:firstColumn="1" w:lastColumn="0" w:noHBand="0" w:noVBand="1"/>
      </w:tblPr>
      <w:tblGrid>
        <w:gridCol w:w="9628"/>
      </w:tblGrid>
      <w:tr w:rsidR="009D5295" w:rsidTr="009D5295">
        <w:tc>
          <w:tcPr>
            <w:tcW w:w="9628" w:type="dxa"/>
          </w:tcPr>
          <w:p w:rsidR="009D5295" w:rsidRDefault="009D5295" w:rsidP="009D5295">
            <w:pPr>
              <w:pStyle w:val="NormalWeb"/>
              <w:shd w:val="clear" w:color="auto" w:fill="FFFFFF"/>
              <w:spacing w:before="0" w:beforeAutospacing="0" w:after="0" w:afterAutospacing="0" w:line="240" w:lineRule="auto"/>
              <w:rPr>
                <w:rFonts w:ascii="Times" w:hAnsi="Times" w:cs="Times"/>
                <w:b/>
                <w:bCs/>
                <w:color w:val="000000"/>
                <w:sz w:val="20"/>
                <w:szCs w:val="20"/>
                <w:lang w:eastAsia="ko-KR"/>
              </w:rPr>
            </w:pPr>
            <w:r>
              <w:rPr>
                <w:rFonts w:ascii="Times" w:hAnsi="Times" w:cs="Times"/>
                <w:b/>
                <w:bCs/>
                <w:color w:val="000000"/>
                <w:sz w:val="20"/>
                <w:szCs w:val="20"/>
              </w:rPr>
              <w:t>Conclusion (RAN1#102e)</w:t>
            </w:r>
          </w:p>
          <w:p w:rsidR="009D5295" w:rsidRDefault="009D5295" w:rsidP="009D5295">
            <w:pPr>
              <w:numPr>
                <w:ilvl w:val="0"/>
                <w:numId w:val="9"/>
              </w:numPr>
              <w:overflowPunct/>
              <w:autoSpaceDE/>
              <w:autoSpaceDN/>
              <w:adjustRightInd/>
              <w:spacing w:before="0" w:after="0" w:line="240" w:lineRule="auto"/>
              <w:jc w:val="left"/>
              <w:textAlignment w:val="auto"/>
              <w:rPr>
                <w:rFonts w:ascii="Times" w:hAnsi="Times"/>
                <w:szCs w:val="24"/>
                <w:lang w:eastAsia="zh-CN"/>
              </w:rPr>
            </w:pPr>
            <w:r>
              <w:rPr>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rsidR="009D5295" w:rsidRDefault="009D5295" w:rsidP="009D5295">
            <w:pPr>
              <w:numPr>
                <w:ilvl w:val="1"/>
                <w:numId w:val="9"/>
              </w:numPr>
              <w:overflowPunct/>
              <w:autoSpaceDE/>
              <w:autoSpaceDN/>
              <w:adjustRightInd/>
              <w:spacing w:before="0" w:after="0" w:line="240" w:lineRule="auto"/>
              <w:jc w:val="left"/>
              <w:textAlignment w:val="auto"/>
              <w:rPr>
                <w:lang w:eastAsia="zh-CN"/>
              </w:rPr>
            </w:pPr>
            <w:proofErr w:type="spellStart"/>
            <w:r>
              <w:rPr>
                <w:i/>
                <w:iCs/>
                <w:lang w:eastAsia="zh-CN"/>
              </w:rPr>
              <w:t>aperiodicTRS</w:t>
            </w:r>
            <w:proofErr w:type="spellEnd"/>
          </w:p>
          <w:p w:rsidR="009D5295" w:rsidRDefault="009D5295" w:rsidP="009D5295">
            <w:pPr>
              <w:numPr>
                <w:ilvl w:val="1"/>
                <w:numId w:val="9"/>
              </w:numPr>
              <w:overflowPunct/>
              <w:autoSpaceDE/>
              <w:autoSpaceDN/>
              <w:adjustRightInd/>
              <w:spacing w:before="0" w:after="0" w:line="240" w:lineRule="auto"/>
              <w:jc w:val="left"/>
              <w:textAlignment w:val="auto"/>
              <w:rPr>
                <w:i/>
                <w:iCs/>
                <w:lang w:eastAsia="zh-CN"/>
              </w:rPr>
            </w:pPr>
            <w:proofErr w:type="spellStart"/>
            <w:r>
              <w:rPr>
                <w:i/>
                <w:iCs/>
                <w:lang w:eastAsia="zh-CN"/>
              </w:rPr>
              <w:t>beamSwitchTiming</w:t>
            </w:r>
            <w:proofErr w:type="spellEnd"/>
          </w:p>
          <w:p w:rsidR="009D5295" w:rsidRDefault="009D5295" w:rsidP="009D5295">
            <w:pPr>
              <w:numPr>
                <w:ilvl w:val="0"/>
                <w:numId w:val="9"/>
              </w:numPr>
              <w:overflowPunct/>
              <w:autoSpaceDE/>
              <w:autoSpaceDN/>
              <w:adjustRightInd/>
              <w:spacing w:before="0" w:after="0" w:line="240" w:lineRule="auto"/>
              <w:jc w:val="left"/>
              <w:textAlignment w:val="auto"/>
              <w:rPr>
                <w:lang w:eastAsia="zh-CN"/>
              </w:rPr>
            </w:pPr>
            <w:r>
              <w:rPr>
                <w:lang w:eastAsia="zh-CN"/>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rsidR="009D5295" w:rsidRPr="009D5295" w:rsidRDefault="009D5295" w:rsidP="009D5295">
            <w:pPr>
              <w:numPr>
                <w:ilvl w:val="1"/>
                <w:numId w:val="9"/>
              </w:numPr>
              <w:overflowPunct/>
              <w:autoSpaceDE/>
              <w:autoSpaceDN/>
              <w:adjustRightInd/>
              <w:spacing w:before="0" w:after="0" w:line="240" w:lineRule="auto"/>
              <w:jc w:val="left"/>
              <w:textAlignment w:val="auto"/>
              <w:rPr>
                <w:lang w:val="en-GB" w:eastAsia="zh-CN"/>
              </w:rPr>
            </w:pPr>
            <w:proofErr w:type="spellStart"/>
            <w:r w:rsidRPr="009D5295">
              <w:rPr>
                <w:i/>
                <w:iCs/>
                <w:lang w:eastAsia="zh-CN"/>
              </w:rPr>
              <w:t>crossCarrierScheduling-SameSCS</w:t>
            </w:r>
            <w:proofErr w:type="spellEnd"/>
          </w:p>
          <w:p w:rsidR="009D5295" w:rsidRDefault="009D5295" w:rsidP="009D5295">
            <w:pPr>
              <w:overflowPunct/>
              <w:autoSpaceDE/>
              <w:autoSpaceDN/>
              <w:adjustRightInd/>
              <w:spacing w:before="0" w:after="0" w:line="240" w:lineRule="auto"/>
              <w:jc w:val="left"/>
              <w:textAlignment w:val="auto"/>
              <w:rPr>
                <w:i/>
                <w:iCs/>
                <w:lang w:eastAsia="zh-CN"/>
              </w:rPr>
            </w:pPr>
          </w:p>
          <w:p w:rsidR="009D5295" w:rsidRPr="00EC61CA" w:rsidRDefault="009D5295" w:rsidP="009D5295">
            <w:pPr>
              <w:spacing w:before="0" w:after="0" w:line="240" w:lineRule="auto"/>
              <w:rPr>
                <w:lang w:eastAsia="ko-KR"/>
              </w:rPr>
            </w:pPr>
            <w:r w:rsidRPr="00EC61CA">
              <w:rPr>
                <w:rStyle w:val="Strong"/>
                <w:highlight w:val="green"/>
              </w:rPr>
              <w:t>Agreement</w:t>
            </w:r>
            <w:r>
              <w:rPr>
                <w:rStyle w:val="Strong"/>
              </w:rPr>
              <w:t xml:space="preserve"> </w:t>
            </w:r>
            <w:r>
              <w:rPr>
                <w:rFonts w:ascii="Times" w:hAnsi="Times" w:cs="Times"/>
                <w:b/>
                <w:bCs/>
                <w:color w:val="000000"/>
              </w:rPr>
              <w:t>(RAN1#103e)</w:t>
            </w:r>
          </w:p>
          <w:p w:rsidR="009D5295" w:rsidRPr="00EC61CA" w:rsidRDefault="009D5295" w:rsidP="009D5295">
            <w:pPr>
              <w:spacing w:before="0" w:after="0" w:line="240" w:lineRule="auto"/>
              <w:ind w:left="400"/>
            </w:pPr>
            <w:r w:rsidRPr="00EC61CA">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rsidR="009D5295" w:rsidRPr="00EC61CA" w:rsidRDefault="009D5295" w:rsidP="009D5295">
            <w:pPr>
              <w:pStyle w:val="ListParagraph"/>
              <w:numPr>
                <w:ilvl w:val="0"/>
                <w:numId w:val="13"/>
              </w:numPr>
              <w:tabs>
                <w:tab w:val="clear" w:pos="720"/>
                <w:tab w:val="num" w:pos="1120"/>
              </w:tabs>
              <w:spacing w:before="0" w:after="0" w:line="240" w:lineRule="auto"/>
              <w:ind w:left="1160"/>
              <w:jc w:val="left"/>
            </w:pPr>
            <w:proofErr w:type="spellStart"/>
            <w:r w:rsidRPr="00EC61CA">
              <w:rPr>
                <w:rStyle w:val="Emphasis"/>
              </w:rPr>
              <w:t>ue</w:t>
            </w:r>
            <w:proofErr w:type="spellEnd"/>
            <w:r w:rsidRPr="00EC61CA">
              <w:rPr>
                <w:rStyle w:val="Emphasis"/>
              </w:rPr>
              <w:t>-</w:t>
            </w:r>
            <w:proofErr w:type="spellStart"/>
            <w:r w:rsidRPr="00EC61CA">
              <w:rPr>
                <w:rStyle w:val="Emphasis"/>
              </w:rPr>
              <w:t>SpecificUL</w:t>
            </w:r>
            <w:proofErr w:type="spellEnd"/>
            <w:r w:rsidRPr="00EC61CA">
              <w:rPr>
                <w:rStyle w:val="Emphasis"/>
              </w:rPr>
              <w:t>-DL-Assignment</w:t>
            </w:r>
          </w:p>
          <w:p w:rsidR="009D5295" w:rsidRPr="00EC61CA" w:rsidRDefault="009D5295" w:rsidP="009D5295">
            <w:pPr>
              <w:pStyle w:val="ListParagraph"/>
              <w:numPr>
                <w:ilvl w:val="0"/>
                <w:numId w:val="13"/>
              </w:numPr>
              <w:tabs>
                <w:tab w:val="clear" w:pos="720"/>
                <w:tab w:val="num" w:pos="1120"/>
              </w:tabs>
              <w:spacing w:before="0" w:after="0" w:line="240" w:lineRule="auto"/>
              <w:ind w:left="1160"/>
              <w:jc w:val="left"/>
            </w:pPr>
            <w:proofErr w:type="spellStart"/>
            <w:r w:rsidRPr="00EC61CA">
              <w:rPr>
                <w:rStyle w:val="Emphasis"/>
              </w:rPr>
              <w:t>bwp-DiffNumerology</w:t>
            </w:r>
            <w:proofErr w:type="spellEnd"/>
            <w:r w:rsidRPr="00EC61CA">
              <w:rPr>
                <w:rStyle w:val="Emphasis"/>
              </w:rPr>
              <w:t xml:space="preserve"> / </w:t>
            </w:r>
            <w:proofErr w:type="spellStart"/>
            <w:r w:rsidRPr="00EC61CA">
              <w:rPr>
                <w:rStyle w:val="Emphasis"/>
              </w:rPr>
              <w:t>bwp-SameNumerology</w:t>
            </w:r>
            <w:proofErr w:type="spellEnd"/>
          </w:p>
          <w:p w:rsidR="009D5295" w:rsidRPr="00EC61CA" w:rsidRDefault="009D5295" w:rsidP="009D5295">
            <w:pPr>
              <w:spacing w:before="0" w:after="0" w:line="240" w:lineRule="auto"/>
              <w:ind w:left="400"/>
            </w:pPr>
            <w:r w:rsidRPr="00EC61CA">
              <w:t>Note: For</w:t>
            </w:r>
            <w:r>
              <w:t xml:space="preserve"> </w:t>
            </w:r>
            <w:proofErr w:type="spellStart"/>
            <w:r w:rsidRPr="00EC61CA">
              <w:rPr>
                <w:rStyle w:val="Emphasis"/>
              </w:rPr>
              <w:t>bwp-DiffNumerology</w:t>
            </w:r>
            <w:proofErr w:type="spellEnd"/>
            <w:r w:rsidRPr="00EC61CA">
              <w:rPr>
                <w:rStyle w:val="Emphasis"/>
              </w:rPr>
              <w:t xml:space="preserve"> / </w:t>
            </w:r>
            <w:proofErr w:type="spellStart"/>
            <w:r w:rsidRPr="00EC61CA">
              <w:rPr>
                <w:rStyle w:val="Emphasis"/>
              </w:rPr>
              <w:t>bwp-SameNumerology</w:t>
            </w:r>
            <w:proofErr w:type="spellEnd"/>
            <w:r w:rsidRPr="00EC61CA">
              <w:t>, the supported number of BWPs for each band is still based on the indicated number for this band regardless of whether it is a scheduling cell or scheduled cell.</w:t>
            </w:r>
          </w:p>
          <w:p w:rsidR="009D5295" w:rsidRDefault="009D5295" w:rsidP="009D5295">
            <w:pPr>
              <w:overflowPunct/>
              <w:autoSpaceDE/>
              <w:autoSpaceDN/>
              <w:adjustRightInd/>
              <w:spacing w:before="0" w:after="0" w:line="240" w:lineRule="auto"/>
              <w:jc w:val="left"/>
              <w:textAlignment w:val="auto"/>
              <w:rPr>
                <w:lang w:val="en-GB" w:eastAsia="zh-CN"/>
              </w:rPr>
            </w:pPr>
          </w:p>
        </w:tc>
      </w:tr>
    </w:tbl>
    <w:p w:rsidR="009D5295" w:rsidRDefault="009D5295">
      <w:pPr>
        <w:rPr>
          <w:lang w:val="en-GB" w:eastAsia="zh-CN"/>
        </w:rPr>
      </w:pPr>
    </w:p>
    <w:p w:rsidR="009D5295" w:rsidRDefault="009D5295">
      <w:pPr>
        <w:rPr>
          <w:lang w:val="en-GB" w:eastAsia="zh-CN"/>
        </w:rPr>
      </w:pPr>
      <w:r>
        <w:rPr>
          <w:lang w:val="en-GB" w:eastAsia="zh-CN"/>
        </w:rPr>
        <w:t>RAN2 has already updated Section Annex A.5 of TS38.306 to reflect the above conclusion/agreements (copied below).</w:t>
      </w:r>
    </w:p>
    <w:p w:rsidR="009D5295" w:rsidRDefault="009D5295">
      <w:pPr>
        <w:rPr>
          <w:lang w:val="en-GB" w:eastAsia="zh-CN"/>
        </w:rPr>
      </w:pPr>
    </w:p>
    <w:tbl>
      <w:tblPr>
        <w:tblStyle w:val="TableGrid"/>
        <w:tblW w:w="0" w:type="auto"/>
        <w:tblLook w:val="04A0" w:firstRow="1" w:lastRow="0" w:firstColumn="1" w:lastColumn="0" w:noHBand="0" w:noVBand="1"/>
      </w:tblPr>
      <w:tblGrid>
        <w:gridCol w:w="9628"/>
      </w:tblGrid>
      <w:tr w:rsidR="009D5295" w:rsidTr="009D5295">
        <w:tc>
          <w:tcPr>
            <w:tcW w:w="9628" w:type="dxa"/>
          </w:tcPr>
          <w:p w:rsidR="009D5295" w:rsidRDefault="009D5295" w:rsidP="009D5295">
            <w:pPr>
              <w:pStyle w:val="14"/>
              <w:spacing w:before="0" w:after="0" w:line="240" w:lineRule="auto"/>
              <w:rPr>
                <w:b/>
                <w:bCs/>
                <w:kern w:val="36"/>
              </w:rPr>
            </w:pPr>
            <w:r>
              <w:rPr>
                <w:b/>
                <w:bCs/>
                <w:kern w:val="36"/>
              </w:rPr>
              <w:lastRenderedPageBreak/>
              <w:t>Annex A.5:</w:t>
            </w:r>
            <w:r>
              <w:rPr>
                <w:b/>
                <w:bCs/>
                <w:kern w:val="36"/>
              </w:rPr>
              <w:tab/>
              <w:t>General differentiation of capabilities in Cross-Carrier operation</w:t>
            </w:r>
          </w:p>
          <w:p w:rsidR="009D5295" w:rsidRPr="009D5295" w:rsidRDefault="009D5295" w:rsidP="009D5295">
            <w:pPr>
              <w:pStyle w:val="a"/>
              <w:spacing w:before="0" w:beforeAutospacing="0" w:after="0" w:line="240" w:lineRule="auto"/>
              <w:rPr>
                <w:sz w:val="20"/>
                <w:szCs w:val="20"/>
              </w:rPr>
            </w:pPr>
            <w:r w:rsidRPr="009D5295">
              <w:rPr>
                <w:sz w:val="20"/>
                <w:szCs w:val="20"/>
              </w:rPr>
              <w:t xml:space="preserve">Annex A.5 specifies for which multiple serving cells a UE supporting cross-carrier operation shall support a feature/capability for which it indicates support within the capability </w:t>
            </w:r>
            <w:proofErr w:type="spellStart"/>
            <w:r w:rsidRPr="009D5295">
              <w:rPr>
                <w:sz w:val="20"/>
                <w:szCs w:val="20"/>
              </w:rPr>
              <w:t>signalling</w:t>
            </w:r>
            <w:proofErr w:type="spellEnd"/>
            <w:r w:rsidRPr="009D5295">
              <w:rPr>
                <w:sz w:val="20"/>
                <w:szCs w:val="20"/>
              </w:rPr>
              <w:t>.</w:t>
            </w:r>
          </w:p>
          <w:p w:rsidR="009D5295" w:rsidRPr="009D5295" w:rsidRDefault="009D5295" w:rsidP="009D5295">
            <w:pPr>
              <w:pStyle w:val="a"/>
              <w:spacing w:before="0" w:beforeAutospacing="0" w:after="0" w:line="240" w:lineRule="auto"/>
              <w:rPr>
                <w:sz w:val="20"/>
                <w:szCs w:val="20"/>
              </w:rPr>
            </w:pPr>
            <w:r w:rsidRPr="009D5295">
              <w:rPr>
                <w:sz w:val="20"/>
                <w:szCs w:val="20"/>
              </w:rPr>
              <w:t>A UE that indicates support for cross-carrier operation in CA (e.g. MCG or SCG):</w:t>
            </w:r>
          </w:p>
          <w:p w:rsidR="009D5295" w:rsidRPr="009D5295" w:rsidRDefault="009D5295" w:rsidP="009D5295">
            <w:pPr>
              <w:pStyle w:val="B1"/>
              <w:spacing w:before="0" w:after="0" w:line="240" w:lineRule="auto"/>
            </w:pPr>
            <w:r w:rsidRPr="009D5295">
              <w:t>-</w:t>
            </w:r>
            <w:r w:rsidRPr="009D5295">
              <w:tab/>
              <w:t xml:space="preserve">For the fields for which the UE is allowed to indicate different support for different bands, the UE shall support the feature on the </w:t>
            </w:r>
            <w:proofErr w:type="spellStart"/>
            <w:r w:rsidRPr="009D5295">
              <w:t>PCell</w:t>
            </w:r>
            <w:proofErr w:type="spellEnd"/>
            <w:r w:rsidRPr="009D5295">
              <w:t xml:space="preserve"> and/or </w:t>
            </w:r>
            <w:proofErr w:type="spellStart"/>
            <w:r w:rsidRPr="009D5295">
              <w:t>SCell</w:t>
            </w:r>
            <w:proofErr w:type="spellEnd"/>
            <w:r w:rsidRPr="009D5295">
              <w:t>(s) in cross-carrier operation, as specified in tables A.5-1 in accordance to the following rules:</w:t>
            </w:r>
          </w:p>
          <w:p w:rsidR="009D5295" w:rsidRPr="009D5295" w:rsidRDefault="009D5295" w:rsidP="009D5295">
            <w:pPr>
              <w:pStyle w:val="B2"/>
              <w:spacing w:before="0" w:after="0" w:line="240" w:lineRule="auto"/>
            </w:pPr>
            <w:r w:rsidRPr="009D5295">
              <w:t>-</w:t>
            </w:r>
            <w:r w:rsidRPr="009D5295">
              <w:tab/>
              <w:t>Triggered serving cell: the UE shall support the feature if the UE indicates support of the feature for the band of the scheduled/triggered/indicated serving cell;</w:t>
            </w:r>
          </w:p>
          <w:p w:rsidR="009D5295" w:rsidRPr="009D5295" w:rsidRDefault="009D5295" w:rsidP="009D5295">
            <w:pPr>
              <w:pStyle w:val="B2"/>
              <w:spacing w:before="0" w:after="0" w:line="240" w:lineRule="auto"/>
            </w:pPr>
            <w:r w:rsidRPr="009D5295">
              <w:t>-</w:t>
            </w:r>
            <w:r w:rsidRPr="009D5295">
              <w:tab/>
            </w:r>
            <w:proofErr w:type="spellStart"/>
            <w:r w:rsidRPr="009D5295">
              <w:t>Triggering&amp;Triggered</w:t>
            </w:r>
            <w:proofErr w:type="spellEnd"/>
            <w:r w:rsidRPr="009D5295">
              <w:t xml:space="preserve"> serving cells: UE shall support the feature if the UE indicates support of the feature for the band of both the scheduling/triggering/indicating serving cell and the scheduled/triggered/indicated serving cell;</w:t>
            </w:r>
          </w:p>
          <w:p w:rsidR="009D5295" w:rsidRDefault="009D5295" w:rsidP="009D5295">
            <w:pPr>
              <w:pStyle w:val="TH"/>
              <w:spacing w:before="0" w:after="0" w:line="240" w:lineRule="auto"/>
            </w:pPr>
            <w:r>
              <w:t>Table A.5-1: General UE capabilities for which differentiation is allowed</w:t>
            </w:r>
          </w:p>
          <w:tbl>
            <w:tblPr>
              <w:tblStyle w:val="a0"/>
              <w:tblW w:w="7933"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4006"/>
            </w:tblGrid>
            <w:tr w:rsidR="009D5295" w:rsidTr="009D5295">
              <w:trPr>
                <w:jc w:val="center"/>
              </w:trPr>
              <w:tc>
                <w:tcPr>
                  <w:tcW w:w="3927" w:type="dxa"/>
                  <w:tcBorders>
                    <w:top w:val="single" w:sz="4" w:space="0" w:color="auto"/>
                    <w:left w:val="single" w:sz="4" w:space="0" w:color="auto"/>
                    <w:bottom w:val="single" w:sz="4" w:space="0" w:color="auto"/>
                    <w:right w:val="single" w:sz="4" w:space="0" w:color="auto"/>
                  </w:tcBorders>
                  <w:hideMark/>
                </w:tcPr>
                <w:p w:rsidR="009D5295" w:rsidRDefault="009D5295" w:rsidP="009D5295">
                  <w:pPr>
                    <w:pStyle w:val="TAH"/>
                  </w:pPr>
                  <w:r>
                    <w:t>UE-NR-Capability</w:t>
                  </w:r>
                </w:p>
              </w:tc>
              <w:tc>
                <w:tcPr>
                  <w:tcW w:w="4006" w:type="dxa"/>
                  <w:tcBorders>
                    <w:top w:val="single" w:sz="4" w:space="0" w:color="auto"/>
                    <w:left w:val="nil"/>
                    <w:bottom w:val="single" w:sz="4" w:space="0" w:color="auto"/>
                    <w:right w:val="single" w:sz="4" w:space="0" w:color="auto"/>
                  </w:tcBorders>
                  <w:hideMark/>
                </w:tcPr>
                <w:p w:rsidR="009D5295" w:rsidRDefault="009D5295" w:rsidP="009D5295">
                  <w:pPr>
                    <w:pStyle w:val="TAH"/>
                  </w:pPr>
                  <w:r>
                    <w:t>Classification</w:t>
                  </w:r>
                </w:p>
              </w:tc>
            </w:tr>
            <w:tr w:rsidR="009D5295" w:rsidTr="009D5295">
              <w:trPr>
                <w:jc w:val="center"/>
              </w:trPr>
              <w:tc>
                <w:tcPr>
                  <w:tcW w:w="3927" w:type="dxa"/>
                  <w:tcBorders>
                    <w:top w:val="single" w:sz="4" w:space="0" w:color="auto"/>
                    <w:left w:val="single" w:sz="4" w:space="0" w:color="auto"/>
                    <w:bottom w:val="single" w:sz="4" w:space="0" w:color="auto"/>
                    <w:right w:val="single" w:sz="4" w:space="0" w:color="auto"/>
                  </w:tcBorders>
                  <w:hideMark/>
                </w:tcPr>
                <w:p w:rsidR="009D5295" w:rsidRDefault="009D5295" w:rsidP="009D5295">
                  <w:pPr>
                    <w:pStyle w:val="TAL"/>
                  </w:pPr>
                  <w:proofErr w:type="spellStart"/>
                  <w:r>
                    <w:t>aperiodicTRS</w:t>
                  </w:r>
                  <w:proofErr w:type="spellEnd"/>
                  <w:r>
                    <w:t xml:space="preserve"> </w:t>
                  </w:r>
                </w:p>
              </w:tc>
              <w:tc>
                <w:tcPr>
                  <w:tcW w:w="4006" w:type="dxa"/>
                  <w:tcBorders>
                    <w:top w:val="single" w:sz="4" w:space="0" w:color="auto"/>
                    <w:left w:val="nil"/>
                    <w:bottom w:val="single" w:sz="4" w:space="0" w:color="auto"/>
                    <w:right w:val="single" w:sz="4" w:space="0" w:color="auto"/>
                  </w:tcBorders>
                  <w:hideMark/>
                </w:tcPr>
                <w:p w:rsidR="009D5295" w:rsidRDefault="009D5295" w:rsidP="009D5295">
                  <w:pPr>
                    <w:pStyle w:val="TAL"/>
                  </w:pPr>
                  <w:r>
                    <w:t>Triggered serving cell</w:t>
                  </w:r>
                </w:p>
              </w:tc>
            </w:tr>
            <w:tr w:rsidR="009D5295" w:rsidTr="009D5295">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rsidR="009D5295" w:rsidRDefault="009D5295" w:rsidP="009D5295">
                  <w:pPr>
                    <w:pStyle w:val="TAL"/>
                  </w:pPr>
                  <w:proofErr w:type="spellStart"/>
                  <w:r>
                    <w:t>beamSwitchTiming</w:t>
                  </w:r>
                  <w:proofErr w:type="spellEnd"/>
                  <w:r>
                    <w:t xml:space="preserve"> </w:t>
                  </w:r>
                </w:p>
              </w:tc>
              <w:tc>
                <w:tcPr>
                  <w:tcW w:w="4006" w:type="dxa"/>
                  <w:tcBorders>
                    <w:top w:val="single" w:sz="4" w:space="0" w:color="auto"/>
                    <w:left w:val="nil"/>
                    <w:bottom w:val="single" w:sz="4" w:space="0" w:color="auto"/>
                    <w:right w:val="single" w:sz="4" w:space="0" w:color="auto"/>
                  </w:tcBorders>
                  <w:hideMark/>
                </w:tcPr>
                <w:p w:rsidR="009D5295" w:rsidRDefault="009D5295" w:rsidP="009D5295">
                  <w:pPr>
                    <w:pStyle w:val="TAL"/>
                  </w:pPr>
                  <w:r>
                    <w:t>Triggered serving cell</w:t>
                  </w:r>
                </w:p>
              </w:tc>
            </w:tr>
            <w:tr w:rsidR="009D5295" w:rsidTr="009D5295">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rsidR="009D5295" w:rsidRDefault="009D5295" w:rsidP="009D5295">
                  <w:pPr>
                    <w:pStyle w:val="TAL"/>
                  </w:pPr>
                  <w:proofErr w:type="spellStart"/>
                  <w:r>
                    <w:t>bwp-DiffNumerology</w:t>
                  </w:r>
                  <w:proofErr w:type="spellEnd"/>
                  <w:r>
                    <w:t xml:space="preserve"> (NOTE 1)</w:t>
                  </w:r>
                </w:p>
              </w:tc>
              <w:tc>
                <w:tcPr>
                  <w:tcW w:w="4006" w:type="dxa"/>
                  <w:tcBorders>
                    <w:top w:val="single" w:sz="4" w:space="0" w:color="auto"/>
                    <w:left w:val="nil"/>
                    <w:bottom w:val="single" w:sz="4" w:space="0" w:color="auto"/>
                    <w:right w:val="single" w:sz="4" w:space="0" w:color="auto"/>
                  </w:tcBorders>
                  <w:hideMark/>
                </w:tcPr>
                <w:p w:rsidR="009D5295" w:rsidRDefault="009D5295" w:rsidP="009D5295">
                  <w:pPr>
                    <w:pStyle w:val="TAL"/>
                  </w:pPr>
                  <w:proofErr w:type="spellStart"/>
                  <w:r>
                    <w:t>Triggering&amp;Triggered</w:t>
                  </w:r>
                  <w:proofErr w:type="spellEnd"/>
                  <w:r>
                    <w:t xml:space="preserve"> serving cells</w:t>
                  </w:r>
                </w:p>
              </w:tc>
            </w:tr>
            <w:tr w:rsidR="009D5295" w:rsidTr="009D5295">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rsidR="009D5295" w:rsidRDefault="009D5295" w:rsidP="009D5295">
                  <w:pPr>
                    <w:pStyle w:val="TAL"/>
                  </w:pPr>
                  <w:proofErr w:type="spellStart"/>
                  <w:r>
                    <w:t>bwp-SameNumerology</w:t>
                  </w:r>
                  <w:proofErr w:type="spellEnd"/>
                  <w:r>
                    <w:t xml:space="preserve"> (NOTE 1)</w:t>
                  </w:r>
                </w:p>
              </w:tc>
              <w:tc>
                <w:tcPr>
                  <w:tcW w:w="4006" w:type="dxa"/>
                  <w:tcBorders>
                    <w:top w:val="single" w:sz="4" w:space="0" w:color="auto"/>
                    <w:left w:val="nil"/>
                    <w:bottom w:val="single" w:sz="4" w:space="0" w:color="auto"/>
                    <w:right w:val="single" w:sz="4" w:space="0" w:color="auto"/>
                  </w:tcBorders>
                  <w:hideMark/>
                </w:tcPr>
                <w:p w:rsidR="009D5295" w:rsidRDefault="009D5295" w:rsidP="009D5295">
                  <w:pPr>
                    <w:pStyle w:val="TAL"/>
                  </w:pPr>
                  <w:proofErr w:type="spellStart"/>
                  <w:r>
                    <w:t>Triggering&amp;Triggered</w:t>
                  </w:r>
                  <w:proofErr w:type="spellEnd"/>
                  <w:r>
                    <w:t xml:space="preserve"> serving cells</w:t>
                  </w:r>
                </w:p>
              </w:tc>
            </w:tr>
            <w:tr w:rsidR="009D5295" w:rsidTr="009D5295">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rsidR="009D5295" w:rsidRDefault="009D5295" w:rsidP="009D5295">
                  <w:pPr>
                    <w:pStyle w:val="TAL"/>
                  </w:pPr>
                  <w:proofErr w:type="spellStart"/>
                  <w:r>
                    <w:t>crossCarrierScheduling-SameSCS</w:t>
                  </w:r>
                  <w:proofErr w:type="spellEnd"/>
                </w:p>
              </w:tc>
              <w:tc>
                <w:tcPr>
                  <w:tcW w:w="4006" w:type="dxa"/>
                  <w:tcBorders>
                    <w:top w:val="single" w:sz="4" w:space="0" w:color="auto"/>
                    <w:left w:val="nil"/>
                    <w:bottom w:val="single" w:sz="4" w:space="0" w:color="auto"/>
                    <w:right w:val="single" w:sz="4" w:space="0" w:color="auto"/>
                  </w:tcBorders>
                  <w:hideMark/>
                </w:tcPr>
                <w:p w:rsidR="009D5295" w:rsidRDefault="009D5295" w:rsidP="009D5295">
                  <w:pPr>
                    <w:pStyle w:val="TAL"/>
                  </w:pPr>
                  <w:proofErr w:type="spellStart"/>
                  <w:r>
                    <w:t>Triggering&amp;Triggered</w:t>
                  </w:r>
                  <w:proofErr w:type="spellEnd"/>
                  <w:r>
                    <w:t xml:space="preserve"> serving cells</w:t>
                  </w:r>
                </w:p>
              </w:tc>
            </w:tr>
            <w:tr w:rsidR="009D5295" w:rsidTr="009D5295">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rsidR="009D5295" w:rsidRDefault="009D5295" w:rsidP="009D5295">
                  <w:pPr>
                    <w:pStyle w:val="TAL"/>
                  </w:pPr>
                  <w:proofErr w:type="spellStart"/>
                  <w:r>
                    <w:t>ue</w:t>
                  </w:r>
                  <w:proofErr w:type="spellEnd"/>
                  <w:r>
                    <w:t>-</w:t>
                  </w:r>
                  <w:proofErr w:type="spellStart"/>
                  <w:r>
                    <w:t>SpecificUL</w:t>
                  </w:r>
                  <w:proofErr w:type="spellEnd"/>
                  <w:r>
                    <w:t>-DL-Assignment</w:t>
                  </w:r>
                </w:p>
              </w:tc>
              <w:tc>
                <w:tcPr>
                  <w:tcW w:w="4006" w:type="dxa"/>
                  <w:tcBorders>
                    <w:top w:val="single" w:sz="4" w:space="0" w:color="auto"/>
                    <w:left w:val="nil"/>
                    <w:bottom w:val="single" w:sz="4" w:space="0" w:color="auto"/>
                    <w:right w:val="single" w:sz="4" w:space="0" w:color="auto"/>
                  </w:tcBorders>
                  <w:hideMark/>
                </w:tcPr>
                <w:p w:rsidR="009D5295" w:rsidRDefault="009D5295" w:rsidP="009D5295">
                  <w:pPr>
                    <w:pStyle w:val="TAL"/>
                  </w:pPr>
                  <w:proofErr w:type="spellStart"/>
                  <w:r>
                    <w:t>Triggering&amp;Triggered</w:t>
                  </w:r>
                  <w:proofErr w:type="spellEnd"/>
                  <w:r>
                    <w:t xml:space="preserve"> serving cells</w:t>
                  </w:r>
                </w:p>
              </w:tc>
            </w:tr>
            <w:tr w:rsidR="009D5295" w:rsidTr="009D5295">
              <w:trPr>
                <w:trHeight w:val="424"/>
                <w:jc w:val="center"/>
              </w:trPr>
              <w:tc>
                <w:tcPr>
                  <w:tcW w:w="7933" w:type="dxa"/>
                  <w:gridSpan w:val="2"/>
                  <w:tcBorders>
                    <w:top w:val="single" w:sz="4" w:space="0" w:color="auto"/>
                    <w:left w:val="single" w:sz="4" w:space="0" w:color="auto"/>
                    <w:bottom w:val="single" w:sz="4" w:space="0" w:color="auto"/>
                    <w:right w:val="single" w:sz="4" w:space="0" w:color="auto"/>
                  </w:tcBorders>
                  <w:vAlign w:val="bottom"/>
                  <w:hideMark/>
                </w:tcPr>
                <w:p w:rsidR="009D5295" w:rsidRDefault="009D5295" w:rsidP="009D5295">
                  <w:pPr>
                    <w:pStyle w:val="TAN"/>
                    <w:rPr>
                      <w:rFonts w:eastAsia="等线"/>
                    </w:rPr>
                  </w:pPr>
                  <w:r>
                    <w:t>NOTE 1:</w:t>
                  </w:r>
                  <w:r>
                    <w:tab/>
                    <w:t xml:space="preserve">For </w:t>
                  </w:r>
                  <w:proofErr w:type="spellStart"/>
                  <w:r>
                    <w:rPr>
                      <w:i/>
                      <w:iCs/>
                    </w:rPr>
                    <w:t>bwp-DiffNumerology</w:t>
                  </w:r>
                  <w:proofErr w:type="spellEnd"/>
                  <w:r>
                    <w:t> </w:t>
                  </w:r>
                  <w:r>
                    <w:rPr>
                      <w:rFonts w:eastAsia="等线"/>
                    </w:rPr>
                    <w:t>and</w:t>
                  </w:r>
                  <w:r>
                    <w:t> </w:t>
                  </w:r>
                  <w:proofErr w:type="spellStart"/>
                  <w:r>
                    <w:rPr>
                      <w:i/>
                      <w:iCs/>
                    </w:rPr>
                    <w:t>bwp-SameNumerology</w:t>
                  </w:r>
                  <w:proofErr w:type="spellEnd"/>
                  <w:r>
                    <w:t>, the supported number of BWPs for each band is still based on the indicated number for this band regardless of whether it is a scheduling cell or scheduled cell.</w:t>
                  </w:r>
                </w:p>
              </w:tc>
            </w:tr>
          </w:tbl>
          <w:p w:rsidR="009D5295" w:rsidRDefault="009D5295" w:rsidP="009D5295">
            <w:pPr>
              <w:pStyle w:val="a"/>
              <w:spacing w:before="0" w:beforeAutospacing="0" w:after="0" w:line="240" w:lineRule="auto"/>
            </w:pPr>
            <w:r>
              <w:t xml:space="preserve"> </w:t>
            </w:r>
          </w:p>
          <w:p w:rsidR="009D5295" w:rsidRDefault="009D5295" w:rsidP="009D5295">
            <w:pPr>
              <w:spacing w:before="0" w:after="0" w:line="240" w:lineRule="auto"/>
              <w:rPr>
                <w:lang w:val="en-GB" w:eastAsia="zh-CN"/>
              </w:rPr>
            </w:pPr>
          </w:p>
        </w:tc>
      </w:tr>
    </w:tbl>
    <w:p w:rsidR="009D5295" w:rsidRDefault="009D5295">
      <w:pPr>
        <w:rPr>
          <w:lang w:val="en-GB" w:eastAsia="zh-CN"/>
        </w:rPr>
      </w:pPr>
    </w:p>
    <w:p w:rsidR="007C44C9" w:rsidRDefault="00F75182">
      <w:pPr>
        <w:rPr>
          <w:lang w:eastAsia="zh-CN"/>
        </w:rPr>
      </w:pPr>
      <w:r>
        <w:rPr>
          <w:rFonts w:hint="eastAsia"/>
          <w:lang w:val="en-GB" w:eastAsia="zh-CN"/>
        </w:rPr>
        <w:t>T</w:t>
      </w:r>
      <w:r>
        <w:rPr>
          <w:lang w:val="en-GB" w:eastAsia="zh-CN"/>
        </w:rPr>
        <w:t xml:space="preserve">here is still one UE capability remains unclarified, i.e., </w:t>
      </w:r>
      <w:r w:rsidRPr="00F75182">
        <w:rPr>
          <w:i/>
          <w:lang w:val="en-GB" w:eastAsia="zh-CN"/>
        </w:rPr>
        <w:t>pdcch-MonitoringAnyOccasionsWithSpanGap</w:t>
      </w:r>
      <w:r>
        <w:rPr>
          <w:lang w:val="en-GB" w:eastAsia="zh-CN"/>
        </w:rPr>
        <w:t>. In this contribution, we provide our analysis and proposal for it.</w:t>
      </w:r>
    </w:p>
    <w:p w:rsidR="007C44C9" w:rsidRDefault="00105F38">
      <w:pPr>
        <w:pStyle w:val="Heading1"/>
        <w:rPr>
          <w:lang w:eastAsia="zh-CN"/>
        </w:rPr>
      </w:pPr>
      <w:r>
        <w:rPr>
          <w:rFonts w:hint="eastAsia"/>
          <w:lang w:val="en-US" w:eastAsia="zh-CN"/>
        </w:rPr>
        <w:t>Discussion</w:t>
      </w:r>
    </w:p>
    <w:p w:rsidR="007C44C9" w:rsidRDefault="00105F38">
      <w:pPr>
        <w:rPr>
          <w:lang w:eastAsia="zh-CN"/>
        </w:rPr>
      </w:pPr>
      <w:r>
        <w:rPr>
          <w:rFonts w:hint="eastAsia"/>
          <w:lang w:val="en-GB" w:eastAsia="zh-CN"/>
        </w:rPr>
        <w:t>A</w:t>
      </w:r>
      <w:r>
        <w:rPr>
          <w:lang w:val="en-GB" w:eastAsia="zh-CN"/>
        </w:rPr>
        <w:t>s also summarized in the moderator’s summary [</w:t>
      </w:r>
      <w:r>
        <w:rPr>
          <w:rFonts w:hint="eastAsia"/>
          <w:lang w:eastAsia="zh-CN"/>
        </w:rPr>
        <w:t>3</w:t>
      </w:r>
      <w:r>
        <w:rPr>
          <w:lang w:val="en-GB" w:eastAsia="zh-CN"/>
        </w:rPr>
        <w:t>], basically, there are three different interpretations as shown below to interpret the UE capabilities with such ambiguity issue.</w:t>
      </w:r>
      <w:r>
        <w:rPr>
          <w:rFonts w:hint="eastAsia"/>
          <w:lang w:eastAsia="zh-CN"/>
        </w:rPr>
        <w:t xml:space="preserve"> In the following discussion </w:t>
      </w:r>
      <w:r>
        <w:rPr>
          <w:lang w:eastAsia="zh-CN"/>
        </w:rPr>
        <w:t>in this paper</w:t>
      </w:r>
      <w:r>
        <w:rPr>
          <w:rFonts w:hint="eastAsia"/>
          <w:lang w:eastAsia="zh-CN"/>
        </w:rPr>
        <w:t>, we use the Interpretation1, Interpretation2 and Interpretation3 to clarify this ambiguity issue.</w:t>
      </w:r>
    </w:p>
    <w:tbl>
      <w:tblPr>
        <w:tblStyle w:val="TableGrid"/>
        <w:tblW w:w="0" w:type="auto"/>
        <w:tblInd w:w="133" w:type="dxa"/>
        <w:tblLook w:val="04A0" w:firstRow="1" w:lastRow="0" w:firstColumn="1" w:lastColumn="0" w:noHBand="0" w:noVBand="1"/>
      </w:tblPr>
      <w:tblGrid>
        <w:gridCol w:w="9495"/>
      </w:tblGrid>
      <w:tr w:rsidR="007C44C9">
        <w:tc>
          <w:tcPr>
            <w:tcW w:w="9611" w:type="dxa"/>
          </w:tcPr>
          <w:p w:rsidR="007C44C9" w:rsidRDefault="00105F38">
            <w:pPr>
              <w:ind w:leftChars="100" w:left="200"/>
              <w:rPr>
                <w:lang w:val="en-GB" w:eastAsia="zh-CN"/>
              </w:rPr>
            </w:pPr>
            <w:r>
              <w:rPr>
                <w:b/>
                <w:lang w:val="en-GB" w:eastAsia="zh-CN"/>
              </w:rPr>
              <w:t>Interpretation1</w:t>
            </w:r>
            <w:r>
              <w:rPr>
                <w:lang w:val="en-GB" w:eastAsia="zh-CN"/>
              </w:rPr>
              <w:t xml:space="preserve">: Support of this UE capability is based on the support of this capability for the band of the </w:t>
            </w:r>
            <w:r>
              <w:rPr>
                <w:color w:val="FF0000"/>
                <w:lang w:val="en-GB" w:eastAsia="zh-CN"/>
              </w:rPr>
              <w:t>scheduled/triggered/indicated cell only</w:t>
            </w:r>
            <w:r>
              <w:rPr>
                <w:lang w:val="en-GB" w:eastAsia="zh-CN"/>
              </w:rPr>
              <w:t>.</w:t>
            </w:r>
          </w:p>
          <w:p w:rsidR="007C44C9" w:rsidRDefault="00105F38">
            <w:pPr>
              <w:ind w:leftChars="100" w:left="200"/>
              <w:rPr>
                <w:lang w:val="en-GB" w:eastAsia="zh-CN"/>
              </w:rPr>
            </w:pPr>
            <w:r>
              <w:rPr>
                <w:b/>
                <w:lang w:val="en-GB" w:eastAsia="zh-CN"/>
              </w:rPr>
              <w:t>Interpretation2</w:t>
            </w:r>
            <w:r>
              <w:rPr>
                <w:lang w:val="en-GB" w:eastAsia="zh-CN"/>
              </w:rPr>
              <w:t xml:space="preserve">: Support of this UE capability is based on the support of this capability for the band of the </w:t>
            </w:r>
            <w:r>
              <w:rPr>
                <w:color w:val="FF0000"/>
                <w:lang w:val="en-GB" w:eastAsia="zh-CN"/>
              </w:rPr>
              <w:t>scheduling/triggering/indicating cell only</w:t>
            </w:r>
            <w:r>
              <w:rPr>
                <w:lang w:val="en-GB" w:eastAsia="zh-CN"/>
              </w:rPr>
              <w:t>.</w:t>
            </w:r>
          </w:p>
          <w:p w:rsidR="007C44C9" w:rsidRDefault="00105F38">
            <w:pPr>
              <w:ind w:leftChars="100" w:left="200"/>
              <w:rPr>
                <w:lang w:val="en-GB" w:eastAsia="zh-CN"/>
              </w:rPr>
            </w:pPr>
            <w:r>
              <w:rPr>
                <w:b/>
                <w:lang w:val="en-GB" w:eastAsia="zh-CN"/>
              </w:rPr>
              <w:t>Interpretation3</w:t>
            </w:r>
            <w:r>
              <w:rPr>
                <w:lang w:val="en-GB" w:eastAsia="zh-CN"/>
              </w:rPr>
              <w:t xml:space="preserve">: Support of this UE capability is based on the support of this capability for </w:t>
            </w:r>
            <w:r>
              <w:rPr>
                <w:color w:val="FF0000"/>
                <w:lang w:val="en-GB" w:eastAsia="zh-CN"/>
              </w:rPr>
              <w:t>both the band of the scheduled/triggered/indicated cell and the band of the scheduling/triggering/indicating cell</w:t>
            </w:r>
            <w:r>
              <w:rPr>
                <w:lang w:val="en-GB" w:eastAsia="zh-CN"/>
              </w:rPr>
              <w:t>.</w:t>
            </w:r>
          </w:p>
        </w:tc>
      </w:tr>
    </w:tbl>
    <w:p w:rsidR="007C44C9" w:rsidRDefault="007C44C9">
      <w:pPr>
        <w:rPr>
          <w:lang w:val="en-GB" w:eastAsia="zh-CN"/>
        </w:rPr>
      </w:pPr>
    </w:p>
    <w:p w:rsidR="00927880" w:rsidRDefault="00927880" w:rsidP="00927880">
      <w:pPr>
        <w:rPr>
          <w:lang w:eastAsia="zh-CN"/>
        </w:rPr>
      </w:pPr>
      <w:r>
        <w:rPr>
          <w:rFonts w:hint="eastAsia"/>
          <w:lang w:eastAsia="zh-CN"/>
        </w:rPr>
        <w:t xml:space="preserve">The description of </w:t>
      </w:r>
      <w:r>
        <w:rPr>
          <w:rFonts w:hint="eastAsia"/>
          <w:i/>
          <w:iCs/>
          <w:lang w:eastAsia="zh-CN"/>
        </w:rPr>
        <w:t>pdcch-MonitoringAnyOccasionsWithSpanGap</w:t>
      </w:r>
      <w:r>
        <w:rPr>
          <w:rFonts w:hint="eastAsia"/>
          <w:lang w:eastAsia="zh-CN"/>
        </w:rPr>
        <w:t xml:space="preserve"> from TS38.306 is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27880" w:rsidTr="00241B68">
        <w:trPr>
          <w:cantSplit/>
          <w:tblHeader/>
        </w:trPr>
        <w:tc>
          <w:tcPr>
            <w:tcW w:w="6917" w:type="dxa"/>
          </w:tcPr>
          <w:p w:rsidR="00927880" w:rsidRDefault="00927880" w:rsidP="00241B68">
            <w:pPr>
              <w:pStyle w:val="TAL"/>
              <w:rPr>
                <w:b/>
                <w:i/>
              </w:rPr>
            </w:pPr>
            <w:r>
              <w:rPr>
                <w:b/>
                <w:i/>
              </w:rPr>
              <w:t>pdcch-MonitoringAnyOccasionsWithSpanGap</w:t>
            </w:r>
          </w:p>
          <w:p w:rsidR="00927880" w:rsidRDefault="00927880" w:rsidP="00241B68">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w:t>
            </w:r>
            <w:proofErr w:type="gramStart"/>
            <w:r>
              <w:rPr>
                <w:rFonts w:cs="Arial"/>
                <w:szCs w:val="18"/>
              </w:rPr>
              <w:t>,Y</w:t>
            </w:r>
            <w:proofErr w:type="gramEnd"/>
            <w:r>
              <w:rPr>
                <w:rFonts w:cs="Arial"/>
                <w:szCs w:val="18"/>
              </w:rPr>
              <w:t>) is (7,3), value set2 indicates the supported value set (X,Y) is (4,3) and (7,3) and value set 3 indicates the supported value set (X,Y) is (2,2), (4,3) and (7,3).</w:t>
            </w:r>
          </w:p>
        </w:tc>
        <w:tc>
          <w:tcPr>
            <w:tcW w:w="709" w:type="dxa"/>
          </w:tcPr>
          <w:p w:rsidR="00927880" w:rsidRDefault="00927880" w:rsidP="00241B68">
            <w:pPr>
              <w:pStyle w:val="TAL"/>
              <w:jc w:val="center"/>
            </w:pPr>
            <w:r>
              <w:rPr>
                <w:rFonts w:cs="Arial"/>
                <w:szCs w:val="18"/>
                <w:lang w:eastAsia="ja-JP"/>
              </w:rPr>
              <w:t>FS</w:t>
            </w:r>
          </w:p>
        </w:tc>
        <w:tc>
          <w:tcPr>
            <w:tcW w:w="567" w:type="dxa"/>
          </w:tcPr>
          <w:p w:rsidR="00927880" w:rsidRDefault="00927880" w:rsidP="00241B68">
            <w:pPr>
              <w:pStyle w:val="TAL"/>
              <w:jc w:val="center"/>
            </w:pPr>
            <w:r>
              <w:rPr>
                <w:rFonts w:cs="Arial"/>
                <w:szCs w:val="18"/>
              </w:rPr>
              <w:t>No</w:t>
            </w:r>
          </w:p>
        </w:tc>
        <w:tc>
          <w:tcPr>
            <w:tcW w:w="709" w:type="dxa"/>
          </w:tcPr>
          <w:p w:rsidR="00927880" w:rsidRDefault="00927880" w:rsidP="00241B68">
            <w:pPr>
              <w:pStyle w:val="TAL"/>
              <w:jc w:val="center"/>
            </w:pPr>
            <w:r>
              <w:rPr>
                <w:bCs/>
                <w:iCs/>
              </w:rPr>
              <w:t>N/A</w:t>
            </w:r>
          </w:p>
        </w:tc>
        <w:tc>
          <w:tcPr>
            <w:tcW w:w="728" w:type="dxa"/>
          </w:tcPr>
          <w:p w:rsidR="00927880" w:rsidRDefault="00927880" w:rsidP="00241B68">
            <w:pPr>
              <w:pStyle w:val="TAL"/>
              <w:jc w:val="center"/>
            </w:pPr>
            <w:r>
              <w:rPr>
                <w:bCs/>
                <w:iCs/>
              </w:rPr>
              <w:t>N/A</w:t>
            </w:r>
          </w:p>
        </w:tc>
      </w:tr>
    </w:tbl>
    <w:p w:rsidR="00927880" w:rsidRDefault="00927880" w:rsidP="00927880">
      <w:pPr>
        <w:rPr>
          <w:lang w:eastAsia="zh-CN"/>
        </w:rPr>
      </w:pPr>
    </w:p>
    <w:p w:rsidR="00927880" w:rsidRDefault="00927880" w:rsidP="00927880">
      <w:pPr>
        <w:rPr>
          <w:lang w:eastAsia="zh-CN"/>
        </w:rPr>
      </w:pPr>
      <w:r>
        <w:rPr>
          <w:rFonts w:hint="eastAsia"/>
          <w:lang w:eastAsia="zh-CN"/>
        </w:rPr>
        <w:lastRenderedPageBreak/>
        <w:t>T</w:t>
      </w:r>
      <w:r>
        <w:rPr>
          <w:lang w:eastAsia="zh-CN"/>
        </w:rPr>
        <w:t>he corresponding UE feature description is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04"/>
        <w:gridCol w:w="1701"/>
        <w:gridCol w:w="7223"/>
      </w:tblGrid>
      <w:tr w:rsidR="00927880" w:rsidTr="00241B68">
        <w:trPr>
          <w:trHeight w:val="978"/>
        </w:trPr>
        <w:tc>
          <w:tcPr>
            <w:tcW w:w="704" w:type="dxa"/>
            <w:shd w:val="clear" w:color="auto" w:fill="auto"/>
            <w:vAlign w:val="center"/>
          </w:tcPr>
          <w:p w:rsidR="00927880" w:rsidRPr="00D9472D" w:rsidRDefault="00927880" w:rsidP="00241B68">
            <w:pPr>
              <w:snapToGrid w:val="0"/>
              <w:rPr>
                <w:rFonts w:eastAsia="MS PGothic"/>
              </w:rPr>
            </w:pPr>
            <w:r w:rsidRPr="00D9472D">
              <w:rPr>
                <w:rFonts w:eastAsia="MS PGothic"/>
              </w:rPr>
              <w:t>3-5b</w:t>
            </w:r>
          </w:p>
        </w:tc>
        <w:tc>
          <w:tcPr>
            <w:tcW w:w="1701" w:type="dxa"/>
            <w:shd w:val="clear" w:color="auto" w:fill="auto"/>
            <w:vAlign w:val="center"/>
          </w:tcPr>
          <w:p w:rsidR="00927880" w:rsidRPr="00D9472D" w:rsidRDefault="00927880" w:rsidP="00241B68">
            <w:pPr>
              <w:snapToGrid w:val="0"/>
              <w:rPr>
                <w:rFonts w:eastAsia="MS PGothic"/>
                <w:highlight w:val="yellow"/>
              </w:rPr>
            </w:pPr>
            <w:r w:rsidRPr="00D9472D">
              <w:t xml:space="preserve"> All PDCCH monitoring occasion can be any OFDM symbol(s) of a slot for Case 2</w:t>
            </w:r>
            <w:r w:rsidRPr="00D9472D">
              <w:rPr>
                <w:rFonts w:eastAsia="MS PGothic"/>
              </w:rPr>
              <w:t xml:space="preserve"> with a span gap</w:t>
            </w:r>
          </w:p>
        </w:tc>
        <w:tc>
          <w:tcPr>
            <w:tcW w:w="7223" w:type="dxa"/>
            <w:shd w:val="clear" w:color="auto" w:fill="auto"/>
            <w:vAlign w:val="center"/>
          </w:tcPr>
          <w:p w:rsidR="00927880" w:rsidRPr="00D9472D" w:rsidRDefault="00927880" w:rsidP="00241B68">
            <w:pPr>
              <w:snapToGrid w:val="0"/>
            </w:pPr>
            <w:r w:rsidRPr="00D9472D">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w:t>
            </w:r>
            <w:proofErr w:type="gramStart"/>
            <w:r w:rsidRPr="00D9472D">
              <w:t>b(</w:t>
            </w:r>
            <w:proofErr w:type="gramEnd"/>
            <w:r w:rsidRPr="00D9472D">
              <w:t xml:space="preserve">l), 0&lt;=l&lt;=13 is generated, where b(l)=1 if symbol l of any slot is part of a monitoring occasion, b(l)=0 otherwise. The first span in the span pattern begins at the smallest l for which </w:t>
            </w:r>
            <w:proofErr w:type="gramStart"/>
            <w:r w:rsidRPr="00D9472D">
              <w:t>b(</w:t>
            </w:r>
            <w:proofErr w:type="gramEnd"/>
            <w:r w:rsidRPr="00D9472D">
              <w:t xml:space="preserve">l)=1. The next span in the span pattern begins at the smallest l not included in the previous span(s) for which </w:t>
            </w:r>
            <w:proofErr w:type="gramStart"/>
            <w:r w:rsidRPr="00D9472D">
              <w:t>b(</w:t>
            </w:r>
            <w:proofErr w:type="gramEnd"/>
            <w:r w:rsidRPr="00D9472D">
              <w:t xml:space="preserve">l)=1. The span duration is </w:t>
            </w:r>
            <w:proofErr w:type="gramStart"/>
            <w:r w:rsidRPr="00D9472D">
              <w:t>max{</w:t>
            </w:r>
            <w:proofErr w:type="gramEnd"/>
            <w:r w:rsidRPr="00D9472D">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rsidR="00927880" w:rsidRPr="00D9472D" w:rsidRDefault="00927880" w:rsidP="00241B68">
            <w:pPr>
              <w:snapToGrid w:val="0"/>
            </w:pPr>
            <w:r w:rsidRPr="00D9472D">
              <w:t>For the set of monitoring occasions which are within the same span:</w:t>
            </w:r>
          </w:p>
          <w:p w:rsidR="00927880" w:rsidRPr="00D9472D" w:rsidRDefault="00927880" w:rsidP="00927880">
            <w:pPr>
              <w:pStyle w:val="ListParagraph"/>
              <w:widowControl w:val="0"/>
              <w:numPr>
                <w:ilvl w:val="0"/>
                <w:numId w:val="14"/>
              </w:numPr>
              <w:snapToGrid w:val="0"/>
              <w:spacing w:after="0"/>
            </w:pPr>
            <w:r w:rsidRPr="00D9472D">
              <w:t>Processing one unicast DCI scheduling DL and one unicast DCI scheduling UL per scheduled CC across this set of monitoring occasions for FDD</w:t>
            </w:r>
          </w:p>
          <w:p w:rsidR="00927880" w:rsidRPr="00D9472D" w:rsidRDefault="00927880" w:rsidP="00927880">
            <w:pPr>
              <w:pStyle w:val="ListParagraph"/>
              <w:widowControl w:val="0"/>
              <w:numPr>
                <w:ilvl w:val="0"/>
                <w:numId w:val="14"/>
              </w:numPr>
              <w:snapToGrid w:val="0"/>
              <w:spacing w:after="0"/>
            </w:pPr>
            <w:r w:rsidRPr="00D9472D">
              <w:t>Processing one unicast DCI scheduling DL and two unicast DCI scheduling UL per scheduled CC across this set of monitoring occasions for TDD</w:t>
            </w:r>
          </w:p>
          <w:p w:rsidR="00927880" w:rsidRPr="00D9472D" w:rsidRDefault="00927880" w:rsidP="00927880">
            <w:pPr>
              <w:pStyle w:val="ListParagraph"/>
              <w:widowControl w:val="0"/>
              <w:numPr>
                <w:ilvl w:val="0"/>
                <w:numId w:val="14"/>
              </w:numPr>
              <w:snapToGrid w:val="0"/>
              <w:spacing w:after="0"/>
            </w:pPr>
            <w:r w:rsidRPr="00D9472D">
              <w:t>Processing two unicast DCI scheduling DL and one unicast DCI scheduling UL per scheduled CC across this set of monitoring occasions for TDD</w:t>
            </w:r>
          </w:p>
          <w:p w:rsidR="00927880" w:rsidRPr="00D9472D" w:rsidRDefault="00927880" w:rsidP="00241B68">
            <w:pPr>
              <w:snapToGrid w:val="0"/>
            </w:pPr>
            <w:r w:rsidRPr="00D9472D">
              <w:t>The number of different start symbol indices of spans for all PDCCH monitoring occasions per slot, including PDCCH monitoring occasions of FG-3-1, is no more than floor(14/X) (X is minimum among values reported by UE).</w:t>
            </w:r>
          </w:p>
          <w:p w:rsidR="00927880" w:rsidRPr="00D9472D" w:rsidRDefault="00927880" w:rsidP="00241B68">
            <w:pPr>
              <w:snapToGrid w:val="0"/>
            </w:pPr>
            <w:r w:rsidRPr="00D9472D">
              <w:t>The number of different start symbol indices of PDCCH monitoring occasions per slot including PDCCH monitoring occasions of FG-3-1, is no more than 7.</w:t>
            </w:r>
          </w:p>
          <w:p w:rsidR="00927880" w:rsidRPr="00D9472D" w:rsidRDefault="00927880" w:rsidP="00241B68">
            <w:pPr>
              <w:snapToGrid w:val="0"/>
            </w:pPr>
            <w:r w:rsidRPr="00D9472D">
              <w:t xml:space="preserve">The number of different start symbol indices of PDCCH monitoring occasions per half-slot including PDCCH monitoring occasions of FG-3-1 is no more than 4 in </w:t>
            </w:r>
            <w:proofErr w:type="spellStart"/>
            <w:r w:rsidRPr="00D9472D">
              <w:t>SCell</w:t>
            </w:r>
            <w:proofErr w:type="spellEnd"/>
            <w:r w:rsidRPr="00D9472D">
              <w:t>.</w:t>
            </w:r>
          </w:p>
        </w:tc>
      </w:tr>
    </w:tbl>
    <w:p w:rsidR="00927880" w:rsidRPr="007F217B" w:rsidRDefault="00927880" w:rsidP="00927880">
      <w:pPr>
        <w:rPr>
          <w:lang w:eastAsia="zh-CN"/>
        </w:rPr>
      </w:pPr>
    </w:p>
    <w:p w:rsidR="00927880" w:rsidRDefault="00927880">
      <w:pPr>
        <w:rPr>
          <w:lang w:val="en-GB" w:eastAsia="zh-CN"/>
        </w:rPr>
      </w:pPr>
      <w:r>
        <w:rPr>
          <w:rFonts w:hint="eastAsia"/>
          <w:lang w:val="en-GB" w:eastAsia="zh-CN"/>
        </w:rPr>
        <w:t>B</w:t>
      </w:r>
      <w:r>
        <w:rPr>
          <w:lang w:val="en-GB" w:eastAsia="zh-CN"/>
        </w:rPr>
        <w:t xml:space="preserve">asically, there are two different views from different perspective. </w:t>
      </w:r>
    </w:p>
    <w:p w:rsidR="00927880" w:rsidRDefault="00927880">
      <w:pPr>
        <w:rPr>
          <w:lang w:val="en-GB" w:eastAsia="zh-CN"/>
        </w:rPr>
      </w:pPr>
      <w:r>
        <w:rPr>
          <w:lang w:val="en-GB" w:eastAsia="zh-CN"/>
        </w:rPr>
        <w:t xml:space="preserve">On one hand, it seems </w:t>
      </w:r>
      <w:r w:rsidRPr="00927880">
        <w:rPr>
          <w:lang w:val="en-GB" w:eastAsia="zh-CN"/>
        </w:rPr>
        <w:t xml:space="preserve">this FG is about UE capability on PDCCH monitoring and PDCCH reception and has nothing to do with the scheduled cell. Besides, cross-carrier operation for </w:t>
      </w:r>
      <w:r w:rsidRPr="00D9266E">
        <w:rPr>
          <w:i/>
          <w:lang w:val="en-GB" w:eastAsia="zh-CN"/>
        </w:rPr>
        <w:t>pdcch-MonitoringAnyOccasionsWithSpanGap</w:t>
      </w:r>
      <w:r w:rsidRPr="00927880">
        <w:rPr>
          <w:lang w:val="en-GB" w:eastAsia="zh-CN"/>
        </w:rPr>
        <w:t xml:space="preserve"> only happens when cross-carrier scheduling is configured. UE can already control the scheduling cell and scheduled cell by the FG for cross-carrier scheduling (</w:t>
      </w:r>
      <w:proofErr w:type="spellStart"/>
      <w:r w:rsidRPr="00D9266E">
        <w:rPr>
          <w:i/>
          <w:lang w:val="en-GB" w:eastAsia="zh-CN"/>
        </w:rPr>
        <w:t>crossCarrierScheduling-SameSCS</w:t>
      </w:r>
      <w:proofErr w:type="spellEnd"/>
      <w:r w:rsidRPr="00927880">
        <w:rPr>
          <w:lang w:val="en-GB" w:eastAsia="zh-CN"/>
        </w:rPr>
        <w:t>).</w:t>
      </w:r>
      <w:r>
        <w:rPr>
          <w:lang w:val="en-GB" w:eastAsia="zh-CN"/>
        </w:rPr>
        <w:t xml:space="preserve"> From this perspective, Interpretation 2 seems to be the reasonable solution.</w:t>
      </w:r>
    </w:p>
    <w:p w:rsidR="00927880" w:rsidRDefault="00927880">
      <w:pPr>
        <w:rPr>
          <w:lang w:val="en-GB" w:eastAsia="zh-CN"/>
        </w:rPr>
      </w:pPr>
      <w:r>
        <w:rPr>
          <w:lang w:val="en-GB" w:eastAsia="zh-CN"/>
        </w:rPr>
        <w:t xml:space="preserve">On the other hand, UE vendors argued that this FG </w:t>
      </w:r>
      <w:r w:rsidRPr="00927880">
        <w:rPr>
          <w:lang w:val="en-GB" w:eastAsia="zh-CN"/>
        </w:rPr>
        <w:t>involves both the scheduling cell and the scheduled cell</w:t>
      </w:r>
      <w:r>
        <w:rPr>
          <w:lang w:val="en-GB" w:eastAsia="zh-CN"/>
        </w:rPr>
        <w:t xml:space="preserve">. </w:t>
      </w:r>
      <w:r w:rsidR="00241B68">
        <w:rPr>
          <w:lang w:val="en-GB" w:eastAsia="zh-CN"/>
        </w:rPr>
        <w:t>If Interpretation 2 is adopted, UE can’t control the number of scheduled cells supporting scheduling via FG3-5b. For example, assuming that UE reports band combination Band A + Band B + Band C, if UE supports cross-carrier scheduling via FG3-5b from Band A to Band B, but it cannot support cross-carrier scheduling via FG3-5b from Band A to Band B + Band C. Then, in this case, UE has to under report its capability. From this perspective, Interpretation 3 seems to be the reasonable solution.</w:t>
      </w:r>
      <w:r w:rsidR="00D9266E">
        <w:rPr>
          <w:lang w:val="en-GB" w:eastAsia="zh-CN"/>
        </w:rPr>
        <w:t xml:space="preserve"> One concern about Interpretation 3 is that, in case of cross-carrier scheduling from FR1 to FR2 via this FG3-5b, UE has to support FG3-5b for both FR1 carrier and FR2 carrier, which makes it more difficult for UEs to implement this feature.</w:t>
      </w:r>
      <w:bookmarkStart w:id="3" w:name="_GoBack"/>
      <w:bookmarkEnd w:id="3"/>
    </w:p>
    <w:p w:rsidR="00F15EA3" w:rsidRPr="00F15EA3" w:rsidRDefault="00241B68">
      <w:pPr>
        <w:rPr>
          <w:b/>
          <w:i/>
          <w:lang w:val="en-GB" w:eastAsia="zh-CN"/>
        </w:rPr>
      </w:pPr>
      <w:r w:rsidRPr="00F15EA3">
        <w:rPr>
          <w:rFonts w:hint="eastAsia"/>
          <w:b/>
          <w:i/>
          <w:lang w:val="en-GB" w:eastAsia="zh-CN"/>
        </w:rPr>
        <w:t>P</w:t>
      </w:r>
      <w:r w:rsidRPr="00F15EA3">
        <w:rPr>
          <w:b/>
          <w:i/>
          <w:lang w:val="en-GB" w:eastAsia="zh-CN"/>
        </w:rPr>
        <w:t>roposal</w:t>
      </w:r>
      <w:r w:rsidR="00F15EA3">
        <w:rPr>
          <w:b/>
          <w:i/>
          <w:lang w:val="en-GB" w:eastAsia="zh-CN"/>
        </w:rPr>
        <w:t xml:space="preserve"> 1</w:t>
      </w:r>
      <w:r w:rsidRPr="00F15EA3">
        <w:rPr>
          <w:b/>
          <w:i/>
          <w:lang w:val="en-GB" w:eastAsia="zh-CN"/>
        </w:rPr>
        <w:t>:</w:t>
      </w:r>
      <w:r w:rsidR="00F15EA3" w:rsidRPr="00F15EA3">
        <w:rPr>
          <w:b/>
          <w:i/>
          <w:lang w:val="en-GB" w:eastAsia="zh-CN"/>
        </w:rPr>
        <w:t xml:space="preserve"> </w:t>
      </w:r>
    </w:p>
    <w:p w:rsidR="00241B68" w:rsidRPr="00F15EA3" w:rsidRDefault="00241B68" w:rsidP="00F15EA3">
      <w:pPr>
        <w:pStyle w:val="ListParagraph"/>
        <w:numPr>
          <w:ilvl w:val="0"/>
          <w:numId w:val="15"/>
        </w:numPr>
        <w:rPr>
          <w:i/>
          <w:lang w:eastAsia="zh-CN"/>
        </w:rPr>
      </w:pPr>
      <w:r w:rsidRPr="00F15EA3">
        <w:rPr>
          <w:i/>
          <w:lang w:eastAsia="zh-CN"/>
        </w:rPr>
        <w:t>RAN1 adopts Interpretation2 or Interpretation3 for pdcch-MonitoringAnyOccasionsWithSpanGap to clarify the ambiguity issue in case of cross-carrier operation.</w:t>
      </w:r>
    </w:p>
    <w:p w:rsidR="00241B68" w:rsidRPr="00F15EA3" w:rsidRDefault="00241B68" w:rsidP="00F15EA3">
      <w:pPr>
        <w:pStyle w:val="ListParagraph"/>
        <w:numPr>
          <w:ilvl w:val="0"/>
          <w:numId w:val="15"/>
        </w:numPr>
        <w:rPr>
          <w:i/>
          <w:color w:val="000000" w:themeColor="text1"/>
          <w:szCs w:val="26"/>
          <w:shd w:val="clear" w:color="auto" w:fill="FFFFFF"/>
        </w:rPr>
      </w:pPr>
      <w:r w:rsidRPr="00F15EA3">
        <w:rPr>
          <w:i/>
          <w:color w:val="000000" w:themeColor="text1"/>
          <w:szCs w:val="26"/>
          <w:shd w:val="clear" w:color="auto" w:fill="FFFFFF"/>
        </w:rPr>
        <w:lastRenderedPageBreak/>
        <w:t>Note: For </w:t>
      </w:r>
      <w:r w:rsidRPr="00D9266E">
        <w:rPr>
          <w:rStyle w:val="Emphasis"/>
          <w:color w:val="000000" w:themeColor="text1"/>
          <w:szCs w:val="26"/>
          <w:shd w:val="clear" w:color="auto" w:fill="FFFFFF"/>
        </w:rPr>
        <w:t>pdcch-MonitoringAnyOccasionsWithSpanGap</w:t>
      </w:r>
      <w:r w:rsidRPr="00F15EA3">
        <w:rPr>
          <w:i/>
          <w:color w:val="000000" w:themeColor="text1"/>
          <w:szCs w:val="26"/>
          <w:shd w:val="clear" w:color="auto" w:fill="FFFFFF"/>
        </w:rPr>
        <w:t>, UE needs to indicate the supported set (set1, set2 or set 3) for each band individually and the supported set is determined by the scheduling cell.</w:t>
      </w:r>
    </w:p>
    <w:p w:rsidR="00241B68" w:rsidRPr="00241B68" w:rsidRDefault="00241B68">
      <w:pPr>
        <w:rPr>
          <w:color w:val="000000" w:themeColor="text1"/>
          <w:lang w:val="en-GB" w:eastAsia="zh-CN"/>
        </w:rPr>
      </w:pPr>
    </w:p>
    <w:p w:rsidR="007C44C9" w:rsidRDefault="00105F38">
      <w:pPr>
        <w:pStyle w:val="Heading1"/>
        <w:rPr>
          <w:lang w:eastAsia="zh-CN"/>
        </w:rPr>
      </w:pPr>
      <w:r>
        <w:rPr>
          <w:rFonts w:hint="eastAsia"/>
          <w:lang w:eastAsia="zh-CN"/>
        </w:rPr>
        <w:t>C</w:t>
      </w:r>
      <w:r>
        <w:rPr>
          <w:lang w:eastAsia="zh-CN"/>
        </w:rPr>
        <w:t>onclusion</w:t>
      </w:r>
    </w:p>
    <w:p w:rsidR="007C44C9" w:rsidRPr="00F15EA3" w:rsidRDefault="00105F38" w:rsidP="00F15EA3">
      <w:pPr>
        <w:rPr>
          <w:lang w:val="en-GB" w:eastAsia="zh-CN"/>
        </w:rPr>
      </w:pPr>
      <w:r>
        <w:rPr>
          <w:rFonts w:hint="eastAsia"/>
          <w:lang w:val="en-GB" w:eastAsia="zh-CN"/>
        </w:rPr>
        <w:t>I</w:t>
      </w:r>
      <w:r>
        <w:rPr>
          <w:lang w:val="en-GB" w:eastAsia="zh-CN"/>
        </w:rPr>
        <w:t xml:space="preserve">n this contribution, we present discussion and analysis on Rel-15 UE features with potential ambiguity issue in case of cross-carrier operation. The following proposal </w:t>
      </w:r>
      <w:r w:rsidR="00F15EA3">
        <w:rPr>
          <w:lang w:val="en-GB" w:eastAsia="zh-CN"/>
        </w:rPr>
        <w:t>is</w:t>
      </w:r>
      <w:r>
        <w:rPr>
          <w:lang w:val="en-GB" w:eastAsia="zh-CN"/>
        </w:rPr>
        <w:t xml:space="preserve"> made.</w:t>
      </w:r>
    </w:p>
    <w:p w:rsidR="00F15EA3" w:rsidRPr="00F15EA3" w:rsidRDefault="00F15EA3" w:rsidP="00453E9E">
      <w:pPr>
        <w:rPr>
          <w:i/>
          <w:lang w:val="en-GB" w:eastAsia="zh-CN"/>
        </w:rPr>
      </w:pPr>
      <w:r w:rsidRPr="00F15EA3">
        <w:rPr>
          <w:rFonts w:hint="eastAsia"/>
          <w:b/>
          <w:i/>
          <w:lang w:val="en-GB" w:eastAsia="zh-CN"/>
        </w:rPr>
        <w:t>P</w:t>
      </w:r>
      <w:r w:rsidRPr="00F15EA3">
        <w:rPr>
          <w:b/>
          <w:i/>
          <w:lang w:val="en-GB" w:eastAsia="zh-CN"/>
        </w:rPr>
        <w:t>roposal</w:t>
      </w:r>
      <w:r>
        <w:rPr>
          <w:b/>
          <w:i/>
          <w:lang w:val="en-GB" w:eastAsia="zh-CN"/>
        </w:rPr>
        <w:t xml:space="preserve"> 1</w:t>
      </w:r>
      <w:r w:rsidRPr="00F15EA3">
        <w:rPr>
          <w:b/>
          <w:i/>
          <w:lang w:val="en-GB" w:eastAsia="zh-CN"/>
        </w:rPr>
        <w:t xml:space="preserve">: </w:t>
      </w:r>
      <w:r w:rsidRPr="00F15EA3">
        <w:rPr>
          <w:i/>
          <w:lang w:val="en-GB" w:eastAsia="zh-CN"/>
        </w:rPr>
        <w:t>RAN1 adopts Interpretation2 or Interpretation3 for pdcch-MonitoringAnyOccasionsWithSpanGap to clarify the ambiguity issue in case of cross-carrier operation.</w:t>
      </w:r>
    </w:p>
    <w:p w:rsidR="00F15EA3" w:rsidRPr="00F15EA3" w:rsidRDefault="00F15EA3" w:rsidP="00453E9E">
      <w:pPr>
        <w:pStyle w:val="ListParagraph"/>
        <w:numPr>
          <w:ilvl w:val="1"/>
          <w:numId w:val="15"/>
        </w:numPr>
        <w:rPr>
          <w:i/>
          <w:color w:val="000000" w:themeColor="text1"/>
          <w:szCs w:val="26"/>
          <w:shd w:val="clear" w:color="auto" w:fill="FFFFFF"/>
        </w:rPr>
      </w:pPr>
      <w:r w:rsidRPr="00F15EA3">
        <w:rPr>
          <w:i/>
          <w:color w:val="000000" w:themeColor="text1"/>
          <w:szCs w:val="26"/>
          <w:shd w:val="clear" w:color="auto" w:fill="FFFFFF"/>
        </w:rPr>
        <w:t>Note: For </w:t>
      </w:r>
      <w:r w:rsidRPr="00453E9E">
        <w:rPr>
          <w:rStyle w:val="Emphasis"/>
          <w:color w:val="000000" w:themeColor="text1"/>
          <w:szCs w:val="26"/>
          <w:shd w:val="clear" w:color="auto" w:fill="FFFFFF"/>
        </w:rPr>
        <w:t>pdcch-MonitoringAnyOccasionsWithSpanGap</w:t>
      </w:r>
      <w:r w:rsidRPr="00F15EA3">
        <w:rPr>
          <w:i/>
          <w:color w:val="000000" w:themeColor="text1"/>
          <w:szCs w:val="26"/>
          <w:shd w:val="clear" w:color="auto" w:fill="FFFFFF"/>
        </w:rPr>
        <w:t>, UE needs to indicate the supported set (set1, set2 or set 3) for each band individually and the supported set is determined by the scheduling cell.</w:t>
      </w:r>
    </w:p>
    <w:p w:rsidR="007C44C9" w:rsidRDefault="007C44C9">
      <w:pPr>
        <w:rPr>
          <w:lang w:val="en-GB" w:eastAsia="zh-CN"/>
        </w:rPr>
      </w:pPr>
    </w:p>
    <w:p w:rsidR="007C44C9" w:rsidRDefault="00105F38">
      <w:pPr>
        <w:pStyle w:val="Heading1"/>
        <w:rPr>
          <w:lang w:eastAsia="zh-CN"/>
        </w:rPr>
      </w:pPr>
      <w:r>
        <w:rPr>
          <w:rFonts w:hint="eastAsia"/>
          <w:lang w:eastAsia="zh-CN"/>
        </w:rPr>
        <w:t>R</w:t>
      </w:r>
      <w:r>
        <w:rPr>
          <w:lang w:eastAsia="zh-CN"/>
        </w:rPr>
        <w:t>eference</w:t>
      </w:r>
    </w:p>
    <w:p w:rsidR="007C44C9" w:rsidRDefault="00105F38">
      <w:pPr>
        <w:pStyle w:val="References"/>
        <w:rPr>
          <w:lang w:eastAsia="zh-CN"/>
        </w:rPr>
      </w:pPr>
      <w:r>
        <w:rPr>
          <w:rFonts w:hint="eastAsia"/>
          <w:lang w:eastAsia="zh-CN"/>
        </w:rPr>
        <w:t>R</w:t>
      </w:r>
      <w:r>
        <w:rPr>
          <w:lang w:eastAsia="zh-CN"/>
        </w:rPr>
        <w:t>AN1</w:t>
      </w:r>
      <w:r>
        <w:rPr>
          <w:rFonts w:hint="eastAsia"/>
          <w:lang w:eastAsia="zh-CN"/>
        </w:rPr>
        <w:t>#102e</w:t>
      </w:r>
      <w:r>
        <w:rPr>
          <w:lang w:eastAsia="zh-CN"/>
        </w:rPr>
        <w:t xml:space="preserve"> chairman note</w:t>
      </w:r>
      <w:r>
        <w:rPr>
          <w:rFonts w:hint="eastAsia"/>
          <w:lang w:eastAsia="zh-CN"/>
        </w:rPr>
        <w:t>.</w:t>
      </w:r>
    </w:p>
    <w:p w:rsidR="009D5295" w:rsidRDefault="009D5295">
      <w:pPr>
        <w:pStyle w:val="References"/>
        <w:rPr>
          <w:lang w:eastAsia="zh-CN"/>
        </w:rPr>
      </w:pPr>
      <w:r>
        <w:rPr>
          <w:lang w:eastAsia="zh-CN"/>
        </w:rPr>
        <w:t>RAN1#103e chairman note.</w:t>
      </w:r>
    </w:p>
    <w:p w:rsidR="007C44C9" w:rsidRDefault="00F75182" w:rsidP="00F75182">
      <w:pPr>
        <w:pStyle w:val="References"/>
        <w:rPr>
          <w:lang w:eastAsia="zh-CN"/>
        </w:rPr>
      </w:pPr>
      <w:r w:rsidRPr="00F75182">
        <w:rPr>
          <w:lang w:eastAsia="zh-CN"/>
        </w:rPr>
        <w:t>R1-2009624</w:t>
      </w:r>
      <w:r>
        <w:rPr>
          <w:lang w:eastAsia="zh-CN"/>
        </w:rPr>
        <w:t xml:space="preserve">, </w:t>
      </w:r>
      <w:r w:rsidRPr="00F75182">
        <w:rPr>
          <w:lang w:eastAsia="zh-CN"/>
        </w:rPr>
        <w:t>Summary of Email Discussion [103-e-NR-7.1CRs-01]</w:t>
      </w:r>
      <w:r>
        <w:rPr>
          <w:lang w:eastAsia="zh-CN"/>
        </w:rPr>
        <w:t>, Moderator (ZTE), RAN1#103e</w:t>
      </w:r>
      <w:r>
        <w:rPr>
          <w:rFonts w:hint="eastAsia"/>
          <w:lang w:eastAsia="zh-CN"/>
        </w:rPr>
        <w:t>.</w:t>
      </w:r>
    </w:p>
    <w:sectPr w:rsidR="007C44C9">
      <w:footerReference w:type="default" r:id="rId13"/>
      <w:footnotePr>
        <w:numRestart w:val="eachSect"/>
      </w:footnotePr>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0D7" w:rsidRDefault="006530D7">
      <w:pPr>
        <w:spacing w:after="0"/>
      </w:pPr>
      <w:r>
        <w:separator/>
      </w:r>
    </w:p>
  </w:endnote>
  <w:endnote w:type="continuationSeparator" w:id="0">
    <w:p w:rsidR="006530D7" w:rsidRDefault="006530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B68" w:rsidRDefault="00241B68">
    <w:pPr>
      <w:pStyle w:val="Footer"/>
      <w:ind w:right="360"/>
    </w:pPr>
    <w:r>
      <w:rPr>
        <w:rStyle w:val="PageNumber"/>
      </w:rPr>
      <w:fldChar w:fldCharType="begin"/>
    </w:r>
    <w:r>
      <w:rPr>
        <w:rStyle w:val="PageNumber"/>
      </w:rPr>
      <w:instrText xml:space="preserve"> PAGE </w:instrText>
    </w:r>
    <w:r>
      <w:rPr>
        <w:rStyle w:val="PageNumber"/>
      </w:rPr>
      <w:fldChar w:fldCharType="separate"/>
    </w:r>
    <w:r w:rsidR="00D9266E">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266E">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0D7" w:rsidRDefault="006530D7">
      <w:pPr>
        <w:spacing w:after="0"/>
      </w:pPr>
      <w:r>
        <w:separator/>
      </w:r>
    </w:p>
  </w:footnote>
  <w:footnote w:type="continuationSeparator" w:id="0">
    <w:p w:rsidR="006530D7" w:rsidRDefault="006530D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7C9683A"/>
    <w:multiLevelType w:val="singleLevel"/>
    <w:tmpl w:val="E7C9683A"/>
    <w:lvl w:ilvl="0">
      <w:start w:val="1"/>
      <w:numFmt w:val="decimal"/>
      <w:suff w:val="space"/>
      <w:lvlText w:val="(%1)"/>
      <w:lvlJc w:val="left"/>
      <w:pPr>
        <w:ind w:left="420"/>
      </w:p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C341FA"/>
    <w:multiLevelType w:val="singleLevel"/>
    <w:tmpl w:val="0FC341FA"/>
    <w:lvl w:ilvl="0">
      <w:start w:val="1"/>
      <w:numFmt w:val="decimal"/>
      <w:suff w:val="space"/>
      <w:lvlText w:val="(%1)"/>
      <w:lvlJc w:val="left"/>
      <w:pPr>
        <w:ind w:left="42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DDF4834"/>
    <w:multiLevelType w:val="multilevel"/>
    <w:tmpl w:val="3DDF48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957D497"/>
    <w:multiLevelType w:val="singleLevel"/>
    <w:tmpl w:val="4957D497"/>
    <w:lvl w:ilvl="0">
      <w:start w:val="1"/>
      <w:numFmt w:val="decimal"/>
      <w:suff w:val="space"/>
      <w:lvlText w:val="%1)"/>
      <w:lvlJc w:val="left"/>
    </w:lvl>
  </w:abstractNum>
  <w:abstractNum w:abstractNumId="8" w15:restartNumberingAfterBreak="0">
    <w:nsid w:val="56C45BED"/>
    <w:multiLevelType w:val="hybridMultilevel"/>
    <w:tmpl w:val="A9C0AA34"/>
    <w:lvl w:ilvl="0" w:tplc="548835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FB547FE"/>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A027571"/>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10"/>
  </w:num>
  <w:num w:numId="4">
    <w:abstractNumId w:val="5"/>
  </w:num>
  <w:num w:numId="5">
    <w:abstractNumId w:val="14"/>
  </w:num>
  <w:num w:numId="6">
    <w:abstractNumId w:val="9"/>
  </w:num>
  <w:num w:numId="7">
    <w:abstractNumId w:val="4"/>
  </w:num>
  <w:num w:numId="8">
    <w:abstractNumId w:val="12"/>
  </w:num>
  <w:num w:numId="9">
    <w:abstractNumId w:val="11"/>
  </w:num>
  <w:num w:numId="10">
    <w:abstractNumId w:val="7"/>
  </w:num>
  <w:num w:numId="11">
    <w:abstractNumId w:val="0"/>
  </w:num>
  <w:num w:numId="12">
    <w:abstractNumId w:val="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76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2CA"/>
    <w:rsid w:val="00016441"/>
    <w:rsid w:val="0001645D"/>
    <w:rsid w:val="000164BB"/>
    <w:rsid w:val="000167A6"/>
    <w:rsid w:val="00016DCE"/>
    <w:rsid w:val="00017309"/>
    <w:rsid w:val="000178F8"/>
    <w:rsid w:val="00017E51"/>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86D"/>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D2B"/>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804"/>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992"/>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67D"/>
    <w:rsid w:val="000B59AA"/>
    <w:rsid w:val="000B5A06"/>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141"/>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707"/>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5F38"/>
    <w:rsid w:val="0010629C"/>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9"/>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A87"/>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AFD"/>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0E0"/>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43D"/>
    <w:rsid w:val="001E6793"/>
    <w:rsid w:val="001E6AC4"/>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200"/>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B68"/>
    <w:rsid w:val="00241C7B"/>
    <w:rsid w:val="00241D6D"/>
    <w:rsid w:val="00241DBC"/>
    <w:rsid w:val="002421F2"/>
    <w:rsid w:val="00242674"/>
    <w:rsid w:val="0024284B"/>
    <w:rsid w:val="0024286B"/>
    <w:rsid w:val="00242B2A"/>
    <w:rsid w:val="00242B92"/>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97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AD"/>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4AE"/>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B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0F1"/>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30C"/>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645"/>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47B7B"/>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8AE"/>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1E9"/>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4A4"/>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26B"/>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C8"/>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80B"/>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E9E"/>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B0B"/>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F72"/>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0C4"/>
    <w:rsid w:val="004A7172"/>
    <w:rsid w:val="004A7276"/>
    <w:rsid w:val="004A746B"/>
    <w:rsid w:val="004A770C"/>
    <w:rsid w:val="004A77E0"/>
    <w:rsid w:val="004A7B2B"/>
    <w:rsid w:val="004A7C0D"/>
    <w:rsid w:val="004A7EE7"/>
    <w:rsid w:val="004A7FB0"/>
    <w:rsid w:val="004B0706"/>
    <w:rsid w:val="004B0780"/>
    <w:rsid w:val="004B0787"/>
    <w:rsid w:val="004B0B32"/>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827"/>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852"/>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2D"/>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03"/>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2E55"/>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77FBF"/>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D2F"/>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36D"/>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C30"/>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0D7"/>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42A"/>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C5"/>
    <w:rsid w:val="006B24F8"/>
    <w:rsid w:val="006B254D"/>
    <w:rsid w:val="006B2DF5"/>
    <w:rsid w:val="006B3171"/>
    <w:rsid w:val="006B34DD"/>
    <w:rsid w:val="006B393F"/>
    <w:rsid w:val="006B3E55"/>
    <w:rsid w:val="006B401E"/>
    <w:rsid w:val="006B4B0E"/>
    <w:rsid w:val="006B4EF3"/>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88"/>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93C"/>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379EE"/>
    <w:rsid w:val="007401AF"/>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824"/>
    <w:rsid w:val="00775BAA"/>
    <w:rsid w:val="00775C35"/>
    <w:rsid w:val="00775EFD"/>
    <w:rsid w:val="00775F11"/>
    <w:rsid w:val="0077621F"/>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5CF1"/>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384"/>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4C9"/>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63"/>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D77AB"/>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09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BC"/>
    <w:rsid w:val="00800DDB"/>
    <w:rsid w:val="008013B8"/>
    <w:rsid w:val="008016C8"/>
    <w:rsid w:val="0080179D"/>
    <w:rsid w:val="00801838"/>
    <w:rsid w:val="008018DC"/>
    <w:rsid w:val="00802410"/>
    <w:rsid w:val="0080270F"/>
    <w:rsid w:val="00802FDA"/>
    <w:rsid w:val="00803160"/>
    <w:rsid w:val="008036F8"/>
    <w:rsid w:val="0080378D"/>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B08"/>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7"/>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6F1E"/>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0C25"/>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2737"/>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B4"/>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192"/>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AB1"/>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880"/>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B71"/>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5E8"/>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86"/>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295"/>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51"/>
    <w:rsid w:val="009E2CB8"/>
    <w:rsid w:val="009E2DD3"/>
    <w:rsid w:val="009E2EAE"/>
    <w:rsid w:val="009E2F97"/>
    <w:rsid w:val="009E342B"/>
    <w:rsid w:val="009E3644"/>
    <w:rsid w:val="009E3759"/>
    <w:rsid w:val="009E3790"/>
    <w:rsid w:val="009E3C31"/>
    <w:rsid w:val="009E3E19"/>
    <w:rsid w:val="009E457F"/>
    <w:rsid w:val="009E4FCC"/>
    <w:rsid w:val="009E5656"/>
    <w:rsid w:val="009E5AB4"/>
    <w:rsid w:val="009E60C7"/>
    <w:rsid w:val="009E641D"/>
    <w:rsid w:val="009E6463"/>
    <w:rsid w:val="009E6A27"/>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B65"/>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C01"/>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BB"/>
    <w:rsid w:val="00A325C2"/>
    <w:rsid w:val="00A325CC"/>
    <w:rsid w:val="00A326E5"/>
    <w:rsid w:val="00A327E2"/>
    <w:rsid w:val="00A329BB"/>
    <w:rsid w:val="00A32A44"/>
    <w:rsid w:val="00A32C37"/>
    <w:rsid w:val="00A331E5"/>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67DDA"/>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A7DF7"/>
    <w:rsid w:val="00AB001C"/>
    <w:rsid w:val="00AB0295"/>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697"/>
    <w:rsid w:val="00AB6C44"/>
    <w:rsid w:val="00AB6CA0"/>
    <w:rsid w:val="00AB76D5"/>
    <w:rsid w:val="00AB7787"/>
    <w:rsid w:val="00AB78AC"/>
    <w:rsid w:val="00AB7913"/>
    <w:rsid w:val="00AB79A8"/>
    <w:rsid w:val="00AB7FCD"/>
    <w:rsid w:val="00AC0169"/>
    <w:rsid w:val="00AC0CC3"/>
    <w:rsid w:val="00AC1271"/>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2DD"/>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685"/>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2D0"/>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04B"/>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40AB"/>
    <w:rsid w:val="00B64124"/>
    <w:rsid w:val="00B64398"/>
    <w:rsid w:val="00B64484"/>
    <w:rsid w:val="00B645F8"/>
    <w:rsid w:val="00B64A44"/>
    <w:rsid w:val="00B64F38"/>
    <w:rsid w:val="00B652B0"/>
    <w:rsid w:val="00B65771"/>
    <w:rsid w:val="00B66254"/>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3B9"/>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67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5E7"/>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7C3"/>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118"/>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52"/>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08"/>
    <w:rsid w:val="00CC32B0"/>
    <w:rsid w:val="00CC34E2"/>
    <w:rsid w:val="00CC3983"/>
    <w:rsid w:val="00CC3D8D"/>
    <w:rsid w:val="00CC3E8C"/>
    <w:rsid w:val="00CC400F"/>
    <w:rsid w:val="00CC4365"/>
    <w:rsid w:val="00CC4C5E"/>
    <w:rsid w:val="00CC4C9E"/>
    <w:rsid w:val="00CC4CD7"/>
    <w:rsid w:val="00CC4F58"/>
    <w:rsid w:val="00CC57AE"/>
    <w:rsid w:val="00CC5AE0"/>
    <w:rsid w:val="00CC6051"/>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1F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674"/>
    <w:rsid w:val="00D56810"/>
    <w:rsid w:val="00D56C31"/>
    <w:rsid w:val="00D56D65"/>
    <w:rsid w:val="00D572B2"/>
    <w:rsid w:val="00D5785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2F9"/>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66E"/>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67E"/>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D1C"/>
    <w:rsid w:val="00DE5FDA"/>
    <w:rsid w:val="00DE61AA"/>
    <w:rsid w:val="00DE6634"/>
    <w:rsid w:val="00DE67AE"/>
    <w:rsid w:val="00DE6E12"/>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D08"/>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A1A"/>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9F3"/>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8EB"/>
    <w:rsid w:val="00E339C6"/>
    <w:rsid w:val="00E33B8C"/>
    <w:rsid w:val="00E33D92"/>
    <w:rsid w:val="00E33E4D"/>
    <w:rsid w:val="00E34D6F"/>
    <w:rsid w:val="00E34F08"/>
    <w:rsid w:val="00E35029"/>
    <w:rsid w:val="00E35698"/>
    <w:rsid w:val="00E358D7"/>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4C67"/>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2FA6"/>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104"/>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0C5"/>
    <w:rsid w:val="00F05D3C"/>
    <w:rsid w:val="00F05EED"/>
    <w:rsid w:val="00F068D2"/>
    <w:rsid w:val="00F06F02"/>
    <w:rsid w:val="00F072FE"/>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EA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C12"/>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182"/>
    <w:rsid w:val="00F75A01"/>
    <w:rsid w:val="00F75C0B"/>
    <w:rsid w:val="00F763DF"/>
    <w:rsid w:val="00F76B16"/>
    <w:rsid w:val="00F77028"/>
    <w:rsid w:val="00F77444"/>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1FE8"/>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27"/>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2E3"/>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842"/>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CAC"/>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1FD244D"/>
    <w:rsid w:val="0284643E"/>
    <w:rsid w:val="03532C3F"/>
    <w:rsid w:val="03B25C4C"/>
    <w:rsid w:val="03F94E83"/>
    <w:rsid w:val="03FC4856"/>
    <w:rsid w:val="05B17F92"/>
    <w:rsid w:val="067D4C1C"/>
    <w:rsid w:val="06B127E5"/>
    <w:rsid w:val="072F2729"/>
    <w:rsid w:val="07C21FA9"/>
    <w:rsid w:val="0957797D"/>
    <w:rsid w:val="0972706B"/>
    <w:rsid w:val="09C21BB6"/>
    <w:rsid w:val="0ABD7848"/>
    <w:rsid w:val="0AFC60B7"/>
    <w:rsid w:val="0BAD7041"/>
    <w:rsid w:val="0C48621C"/>
    <w:rsid w:val="0C6F5654"/>
    <w:rsid w:val="0D132BA9"/>
    <w:rsid w:val="0D660AC2"/>
    <w:rsid w:val="0D672BF6"/>
    <w:rsid w:val="0E120AD5"/>
    <w:rsid w:val="0EB06FFE"/>
    <w:rsid w:val="10150A41"/>
    <w:rsid w:val="10544A4E"/>
    <w:rsid w:val="1257267A"/>
    <w:rsid w:val="12A472D8"/>
    <w:rsid w:val="12BA1C71"/>
    <w:rsid w:val="12FE321B"/>
    <w:rsid w:val="130859B8"/>
    <w:rsid w:val="141F2191"/>
    <w:rsid w:val="1575AEB2"/>
    <w:rsid w:val="164F7F6D"/>
    <w:rsid w:val="165E068A"/>
    <w:rsid w:val="16C32995"/>
    <w:rsid w:val="1702D3F2"/>
    <w:rsid w:val="174A2A64"/>
    <w:rsid w:val="188D2058"/>
    <w:rsid w:val="18955C5C"/>
    <w:rsid w:val="18BA7603"/>
    <w:rsid w:val="18FD3F86"/>
    <w:rsid w:val="192B740B"/>
    <w:rsid w:val="19CB44D5"/>
    <w:rsid w:val="1A514204"/>
    <w:rsid w:val="1B2E6DC7"/>
    <w:rsid w:val="1B357BCB"/>
    <w:rsid w:val="1B5316CE"/>
    <w:rsid w:val="1B5E59D2"/>
    <w:rsid w:val="1C766428"/>
    <w:rsid w:val="1DD50930"/>
    <w:rsid w:val="1DF11643"/>
    <w:rsid w:val="1DF407BB"/>
    <w:rsid w:val="1E38003B"/>
    <w:rsid w:val="1EB96E9E"/>
    <w:rsid w:val="1F1B2F44"/>
    <w:rsid w:val="1F850095"/>
    <w:rsid w:val="1FB91CD0"/>
    <w:rsid w:val="20910CB1"/>
    <w:rsid w:val="209D5BDE"/>
    <w:rsid w:val="20CD42FE"/>
    <w:rsid w:val="21035A99"/>
    <w:rsid w:val="21282288"/>
    <w:rsid w:val="21FA2867"/>
    <w:rsid w:val="23680C07"/>
    <w:rsid w:val="239E142D"/>
    <w:rsid w:val="245870DE"/>
    <w:rsid w:val="247247A7"/>
    <w:rsid w:val="2473146A"/>
    <w:rsid w:val="27C5366D"/>
    <w:rsid w:val="27DD67CA"/>
    <w:rsid w:val="28690808"/>
    <w:rsid w:val="28B07E55"/>
    <w:rsid w:val="28B54AA2"/>
    <w:rsid w:val="2936214E"/>
    <w:rsid w:val="29E343AC"/>
    <w:rsid w:val="2A0F0B23"/>
    <w:rsid w:val="2AFE2B7E"/>
    <w:rsid w:val="2D376513"/>
    <w:rsid w:val="2DC863F1"/>
    <w:rsid w:val="2E6879EE"/>
    <w:rsid w:val="2EB72406"/>
    <w:rsid w:val="2F2367DE"/>
    <w:rsid w:val="2F8121A9"/>
    <w:rsid w:val="30915C04"/>
    <w:rsid w:val="31542D3B"/>
    <w:rsid w:val="32832752"/>
    <w:rsid w:val="32FE23BF"/>
    <w:rsid w:val="330E6893"/>
    <w:rsid w:val="33DE0CB9"/>
    <w:rsid w:val="3511129D"/>
    <w:rsid w:val="356927F3"/>
    <w:rsid w:val="359455FE"/>
    <w:rsid w:val="359D4E0A"/>
    <w:rsid w:val="36CD07B0"/>
    <w:rsid w:val="375C57D7"/>
    <w:rsid w:val="37DD651E"/>
    <w:rsid w:val="38BA113F"/>
    <w:rsid w:val="39D57D5E"/>
    <w:rsid w:val="3A135075"/>
    <w:rsid w:val="3A8424B5"/>
    <w:rsid w:val="3AB31D0C"/>
    <w:rsid w:val="3B4A3B53"/>
    <w:rsid w:val="3C923082"/>
    <w:rsid w:val="3D0354C7"/>
    <w:rsid w:val="3D7642C9"/>
    <w:rsid w:val="3DDA6D42"/>
    <w:rsid w:val="3E7347F4"/>
    <w:rsid w:val="3EF83C43"/>
    <w:rsid w:val="3F01664D"/>
    <w:rsid w:val="3F175FC8"/>
    <w:rsid w:val="3F944AE3"/>
    <w:rsid w:val="3FD010A5"/>
    <w:rsid w:val="40850DCD"/>
    <w:rsid w:val="41AC1D9C"/>
    <w:rsid w:val="420670A2"/>
    <w:rsid w:val="4242619A"/>
    <w:rsid w:val="42A0518C"/>
    <w:rsid w:val="42B20782"/>
    <w:rsid w:val="44917C93"/>
    <w:rsid w:val="46D41E44"/>
    <w:rsid w:val="46FD4D28"/>
    <w:rsid w:val="47AE2F53"/>
    <w:rsid w:val="496938E0"/>
    <w:rsid w:val="49882B35"/>
    <w:rsid w:val="4B3872E6"/>
    <w:rsid w:val="4B7338A2"/>
    <w:rsid w:val="4BC2698A"/>
    <w:rsid w:val="4C3C786C"/>
    <w:rsid w:val="4CA149AE"/>
    <w:rsid w:val="4DF51404"/>
    <w:rsid w:val="4E5633F4"/>
    <w:rsid w:val="4E7740D9"/>
    <w:rsid w:val="4EAC0AFF"/>
    <w:rsid w:val="4EC2021D"/>
    <w:rsid w:val="4FA32A72"/>
    <w:rsid w:val="50FD13B2"/>
    <w:rsid w:val="52FE30BB"/>
    <w:rsid w:val="536E79E7"/>
    <w:rsid w:val="543E0FC0"/>
    <w:rsid w:val="54CE2507"/>
    <w:rsid w:val="55181CD2"/>
    <w:rsid w:val="55731E23"/>
    <w:rsid w:val="55D01D97"/>
    <w:rsid w:val="56DD68A4"/>
    <w:rsid w:val="57244B18"/>
    <w:rsid w:val="57EF6871"/>
    <w:rsid w:val="58240039"/>
    <w:rsid w:val="595A121E"/>
    <w:rsid w:val="59C75644"/>
    <w:rsid w:val="5A943785"/>
    <w:rsid w:val="5AF07FF7"/>
    <w:rsid w:val="5AF422E5"/>
    <w:rsid w:val="5AF82B4D"/>
    <w:rsid w:val="5BF26431"/>
    <w:rsid w:val="5BF56220"/>
    <w:rsid w:val="5E780DEA"/>
    <w:rsid w:val="5F631FA8"/>
    <w:rsid w:val="61846ED7"/>
    <w:rsid w:val="65507243"/>
    <w:rsid w:val="656027FF"/>
    <w:rsid w:val="66457E51"/>
    <w:rsid w:val="6680376E"/>
    <w:rsid w:val="66AB1580"/>
    <w:rsid w:val="66ED31EA"/>
    <w:rsid w:val="67D4666E"/>
    <w:rsid w:val="691A3243"/>
    <w:rsid w:val="696C42BB"/>
    <w:rsid w:val="698A6B0F"/>
    <w:rsid w:val="6A782EAA"/>
    <w:rsid w:val="6B704279"/>
    <w:rsid w:val="6D020EA1"/>
    <w:rsid w:val="6E0F1211"/>
    <w:rsid w:val="6E9A7650"/>
    <w:rsid w:val="6FBD0858"/>
    <w:rsid w:val="706E7F8A"/>
    <w:rsid w:val="709136B6"/>
    <w:rsid w:val="71CA3592"/>
    <w:rsid w:val="72E1752D"/>
    <w:rsid w:val="73A015C2"/>
    <w:rsid w:val="73A913CF"/>
    <w:rsid w:val="73EB1497"/>
    <w:rsid w:val="74000A47"/>
    <w:rsid w:val="745A1400"/>
    <w:rsid w:val="74885606"/>
    <w:rsid w:val="751115BE"/>
    <w:rsid w:val="75740E00"/>
    <w:rsid w:val="763A080C"/>
    <w:rsid w:val="76783EB1"/>
    <w:rsid w:val="76962597"/>
    <w:rsid w:val="76EB5B39"/>
    <w:rsid w:val="776F4F23"/>
    <w:rsid w:val="78156E78"/>
    <w:rsid w:val="782D5EAF"/>
    <w:rsid w:val="789F1175"/>
    <w:rsid w:val="78A164CB"/>
    <w:rsid w:val="7931734A"/>
    <w:rsid w:val="7ADB38D4"/>
    <w:rsid w:val="7C1F4C14"/>
    <w:rsid w:val="7C8C4BA7"/>
    <w:rsid w:val="7DD2691C"/>
    <w:rsid w:val="7E3563A1"/>
    <w:rsid w:val="7E9326F9"/>
    <w:rsid w:val="7EE20452"/>
    <w:rsid w:val="7F395D9C"/>
    <w:rsid w:val="7FCC0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A0442-FD0D-4D97-A35E-8DCD7BA96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宋体"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eastAsia="宋体"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ascii="Times New Roman" w:eastAsia="宋体" w:hAnsi="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rFonts w:ascii="Times New Roman" w:eastAsia="宋体" w:hAnsi="Times New Roman"/>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a">
    <w:name w:val="正文"/>
    <w:rsid w:val="009D5295"/>
    <w:pPr>
      <w:overflowPunct w:val="0"/>
      <w:autoSpaceDE w:val="0"/>
      <w:autoSpaceDN w:val="0"/>
      <w:adjustRightInd w:val="0"/>
      <w:spacing w:before="100" w:beforeAutospacing="1" w:after="180"/>
      <w:textAlignment w:val="baseline"/>
    </w:pPr>
    <w:rPr>
      <w:rFonts w:ascii="Times New Roman" w:eastAsia="宋体" w:hAnsi="Times New Roman"/>
      <w:sz w:val="24"/>
      <w:szCs w:val="24"/>
    </w:rPr>
  </w:style>
  <w:style w:type="paragraph" w:customStyle="1" w:styleId="14">
    <w:name w:val="标题 1"/>
    <w:basedOn w:val="Normal"/>
    <w:next w:val="a"/>
    <w:rsid w:val="009D5295"/>
    <w:pPr>
      <w:keepNext/>
      <w:keepLines/>
      <w:widowControl w:val="0"/>
      <w:pBdr>
        <w:top w:val="single" w:sz="12" w:space="3" w:color="auto"/>
      </w:pBdr>
      <w:spacing w:before="240"/>
      <w:ind w:left="1134" w:hanging="1134"/>
      <w:jc w:val="left"/>
      <w:outlineLvl w:val="0"/>
    </w:pPr>
    <w:rPr>
      <w:rFonts w:ascii="Arial" w:eastAsia="Times New Roman" w:hAnsi="Arial"/>
      <w:sz w:val="36"/>
      <w:szCs w:val="36"/>
      <w:lang w:eastAsia="zh-CN"/>
    </w:rPr>
  </w:style>
  <w:style w:type="table" w:customStyle="1" w:styleId="a0">
    <w:name w:val="普通表格"/>
    <w:semiHidden/>
    <w:rsid w:val="009D5295"/>
    <w:rPr>
      <w:rFonts w:ascii="Times New Roman" w:eastAsia="Times New Roman" w:hAnsi="Times New Roman"/>
    </w:rPr>
    <w:tblPr>
      <w:tblCellMar>
        <w:top w:w="0" w:type="dxa"/>
        <w:left w:w="108" w:type="dxa"/>
        <w:bottom w:w="0" w:type="dxa"/>
        <w:right w:w="108" w:type="dxa"/>
      </w:tblCellMar>
    </w:tblPr>
  </w:style>
  <w:style w:type="character" w:customStyle="1" w:styleId="ListParagraphChar1">
    <w:name w:val="List Paragraph Char1"/>
    <w:uiPriority w:val="34"/>
    <w:qFormat/>
    <w:locked/>
    <w:rsid w:val="00927880"/>
    <w:rPr>
      <w:rFonts w:ascii="Times New Roman" w:eastAsia="Calibri" w:hAnsi="Times New Roman"/>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1289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49BDAF32-1814-41BD-88D2-44C5406B4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1577</Words>
  <Characters>8994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10550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14</cp:revision>
  <cp:lastPrinted>2018-04-07T03:05:00Z</cp:lastPrinted>
  <dcterms:created xsi:type="dcterms:W3CDTF">2020-09-07T13:54:00Z</dcterms:created>
  <dcterms:modified xsi:type="dcterms:W3CDTF">2021-01-16T08:26:00Z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